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D94C" w14:textId="77777777" w:rsidR="0066047F"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4"/>
          <w:szCs w:val="24"/>
        </w:rPr>
      </w:pPr>
    </w:p>
    <w:p w14:paraId="68280BA1"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047F">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                </w:t>
      </w:r>
      <w:r w:rsidRPr="00A91798">
        <w:rPr>
          <w:rFonts w:ascii="Times New Roman" w:eastAsia="Times New Roman" w:hAnsi="Times New Roman" w:cs="Times New Roman"/>
          <w:sz w:val="21"/>
          <w:szCs w:val="21"/>
        </w:rPr>
        <w:t>Prašymo-paraiškos gauti piniginę socialinę paramą</w:t>
      </w:r>
    </w:p>
    <w:p w14:paraId="63530337"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ab/>
      </w:r>
      <w:r w:rsidRPr="00A91798">
        <w:rPr>
          <w:rFonts w:ascii="Times New Roman" w:eastAsia="Times New Roman" w:hAnsi="Times New Roman" w:cs="Times New Roman"/>
          <w:sz w:val="21"/>
          <w:szCs w:val="21"/>
        </w:rPr>
        <w:tab/>
      </w:r>
      <w:r w:rsidRPr="00A91798">
        <w:rPr>
          <w:rFonts w:ascii="Times New Roman" w:eastAsia="Times New Roman" w:hAnsi="Times New Roman" w:cs="Times New Roman"/>
          <w:sz w:val="21"/>
          <w:szCs w:val="21"/>
        </w:rPr>
        <w:tab/>
        <w:t xml:space="preserve">                      5 priedas</w:t>
      </w:r>
      <w:r w:rsidRPr="00A91798">
        <w:rPr>
          <w:rFonts w:ascii="Times New Roman" w:eastAsia="Times New Roman" w:hAnsi="Times New Roman" w:cs="Times New Roman"/>
          <w:sz w:val="21"/>
          <w:szCs w:val="21"/>
        </w:rPr>
        <w:tab/>
      </w:r>
    </w:p>
    <w:p w14:paraId="02AF4C1F"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sz w:val="21"/>
          <w:szCs w:val="21"/>
        </w:rPr>
      </w:pPr>
    </w:p>
    <w:p w14:paraId="1A07ED66" w14:textId="77777777" w:rsidR="00A91798" w:rsidRPr="00A91798" w:rsidRDefault="00A91798"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sz w:val="21"/>
          <w:szCs w:val="21"/>
        </w:rPr>
      </w:pPr>
    </w:p>
    <w:p w14:paraId="3D2B1502"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vertAlign w:val="superscript"/>
        </w:rPr>
      </w:pPr>
      <w:r w:rsidRPr="00A91798">
        <w:rPr>
          <w:rFonts w:ascii="Times New Roman" w:eastAsia="Times New Roman" w:hAnsi="Times New Roman" w:cs="Times New Roman"/>
          <w:b/>
          <w:sz w:val="21"/>
          <w:szCs w:val="21"/>
        </w:rPr>
        <w:t>FINANSINIS TURTAS</w:t>
      </w:r>
      <w:r w:rsidRPr="00A91798">
        <w:rPr>
          <w:rFonts w:ascii="Times New Roman" w:eastAsia="Times New Roman" w:hAnsi="Times New Roman" w:cs="Times New Roman"/>
          <w:b/>
          <w:sz w:val="21"/>
          <w:szCs w:val="21"/>
          <w:vertAlign w:val="superscript"/>
        </w:rPr>
        <w:t>1</w:t>
      </w:r>
    </w:p>
    <w:p w14:paraId="38D1CBFD" w14:textId="77777777" w:rsidR="00A91798" w:rsidRPr="00A91798" w:rsidRDefault="00A91798"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p>
    <w:p w14:paraId="638B6FB7"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66047F" w:rsidRPr="00A91798" w14:paraId="449535EC" w14:textId="77777777" w:rsidTr="002E5F02">
        <w:tc>
          <w:tcPr>
            <w:tcW w:w="7763" w:type="dxa"/>
            <w:vAlign w:val="center"/>
          </w:tcPr>
          <w:p w14:paraId="7749B24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r w:rsidRPr="00A91798">
              <w:rPr>
                <w:rFonts w:ascii="Times New Roman" w:eastAsia="Times New Roman" w:hAnsi="Times New Roman" w:cs="Times New Roman"/>
                <w:b/>
                <w:sz w:val="21"/>
                <w:szCs w:val="21"/>
              </w:rPr>
              <w:t>Turto rūšis</w:t>
            </w:r>
          </w:p>
        </w:tc>
        <w:tc>
          <w:tcPr>
            <w:tcW w:w="1701" w:type="dxa"/>
            <w:vAlign w:val="center"/>
          </w:tcPr>
          <w:p w14:paraId="6148E565" w14:textId="77777777" w:rsidR="0066047F" w:rsidRPr="00A91798" w:rsidRDefault="0066047F" w:rsidP="00A91798">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r w:rsidRPr="00A91798">
              <w:rPr>
                <w:rFonts w:ascii="Times New Roman" w:eastAsia="Times New Roman" w:hAnsi="Times New Roman" w:cs="Times New Roman"/>
                <w:b/>
                <w:sz w:val="21"/>
                <w:szCs w:val="21"/>
              </w:rPr>
              <w:t>Turto vertė, Eur</w:t>
            </w:r>
          </w:p>
        </w:tc>
      </w:tr>
      <w:tr w:rsidR="0066047F" w:rsidRPr="00A91798" w14:paraId="112475F8" w14:textId="77777777" w:rsidTr="002E5F02">
        <w:tc>
          <w:tcPr>
            <w:tcW w:w="7763" w:type="dxa"/>
          </w:tcPr>
          <w:p w14:paraId="2B427D98"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1. Vertybiniai popieriai, jeigu jų bendra vertė viršija 580 eurų:</w:t>
            </w:r>
          </w:p>
        </w:tc>
        <w:tc>
          <w:tcPr>
            <w:tcW w:w="1701" w:type="dxa"/>
          </w:tcPr>
          <w:p w14:paraId="30D90869"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741F0BD3" w14:textId="77777777" w:rsidTr="002E5F02">
        <w:tc>
          <w:tcPr>
            <w:tcW w:w="7763" w:type="dxa"/>
          </w:tcPr>
          <w:p w14:paraId="3ECE6C0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Akcijos</w:t>
            </w:r>
          </w:p>
        </w:tc>
        <w:tc>
          <w:tcPr>
            <w:tcW w:w="1701" w:type="dxa"/>
          </w:tcPr>
          <w:p w14:paraId="1014416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50FFC554" w14:textId="77777777" w:rsidTr="002E5F02">
        <w:tc>
          <w:tcPr>
            <w:tcW w:w="7763" w:type="dxa"/>
          </w:tcPr>
          <w:p w14:paraId="661588F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Obligacijos</w:t>
            </w:r>
          </w:p>
        </w:tc>
        <w:tc>
          <w:tcPr>
            <w:tcW w:w="1701" w:type="dxa"/>
          </w:tcPr>
          <w:p w14:paraId="6333B04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DB301DB" w14:textId="77777777" w:rsidTr="002E5F02">
        <w:tc>
          <w:tcPr>
            <w:tcW w:w="7763" w:type="dxa"/>
          </w:tcPr>
          <w:p w14:paraId="7F42004D"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Vekseliai</w:t>
            </w:r>
          </w:p>
        </w:tc>
        <w:tc>
          <w:tcPr>
            <w:tcW w:w="1701" w:type="dxa"/>
          </w:tcPr>
          <w:p w14:paraId="2212938B"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7B86190" w14:textId="77777777" w:rsidTr="002E5F02">
        <w:tc>
          <w:tcPr>
            <w:tcW w:w="7763" w:type="dxa"/>
          </w:tcPr>
          <w:p w14:paraId="175AF78B"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Kiti vertybiniai popieriai</w:t>
            </w:r>
          </w:p>
        </w:tc>
        <w:tc>
          <w:tcPr>
            <w:tcW w:w="1701" w:type="dxa"/>
          </w:tcPr>
          <w:p w14:paraId="17D73FD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5040D57C" w14:textId="77777777" w:rsidTr="002E5F02">
        <w:tc>
          <w:tcPr>
            <w:tcW w:w="7763" w:type="dxa"/>
          </w:tcPr>
          <w:p w14:paraId="378397F9"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Pajai</w:t>
            </w:r>
          </w:p>
        </w:tc>
        <w:tc>
          <w:tcPr>
            <w:tcW w:w="1701" w:type="dxa"/>
          </w:tcPr>
          <w:p w14:paraId="4E69E9F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49312410" w14:textId="77777777" w:rsidTr="002E5F02">
        <w:tc>
          <w:tcPr>
            <w:tcW w:w="7763" w:type="dxa"/>
          </w:tcPr>
          <w:p w14:paraId="624AD77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2. Meno kūriniai, brangakmeniai, juvelyriniai dirbiniai, taurieji metalai, kurių vieneto vertė viršija 580 eurų</w:t>
            </w:r>
          </w:p>
        </w:tc>
        <w:tc>
          <w:tcPr>
            <w:tcW w:w="1701" w:type="dxa"/>
          </w:tcPr>
          <w:p w14:paraId="6C385C1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4CEB83B5" w14:textId="77777777" w:rsidTr="002E5F02">
        <w:tc>
          <w:tcPr>
            <w:tcW w:w="7763" w:type="dxa"/>
          </w:tcPr>
          <w:p w14:paraId="7D41478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3. Piniginės lėšos, turimos bankuose, kitose kredito įstaigose ir ne bankuose bei ne kitose kredito įstaigose, jeigu jų bendra suma viršija 580 eurų, išskyrus gautą vaikui (įvaikiui) išlaikyti priteistą konkrečią pinigų sumą</w:t>
            </w:r>
          </w:p>
        </w:tc>
        <w:tc>
          <w:tcPr>
            <w:tcW w:w="1701" w:type="dxa"/>
          </w:tcPr>
          <w:p w14:paraId="4C61544A"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E10B3C5" w14:textId="77777777" w:rsidTr="002E5F02">
        <w:tc>
          <w:tcPr>
            <w:tcW w:w="7763" w:type="dxa"/>
          </w:tcPr>
          <w:p w14:paraId="02289505"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4. Kitas turtas:</w:t>
            </w:r>
          </w:p>
        </w:tc>
        <w:tc>
          <w:tcPr>
            <w:tcW w:w="1701" w:type="dxa"/>
          </w:tcPr>
          <w:p w14:paraId="69E9814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746BD9A2" w14:textId="77777777" w:rsidTr="002E5F02">
        <w:tc>
          <w:tcPr>
            <w:tcW w:w="7763" w:type="dxa"/>
          </w:tcPr>
          <w:p w14:paraId="21CD618A" w14:textId="77777777" w:rsidR="0066047F" w:rsidRPr="00A91798" w:rsidRDefault="0066047F" w:rsidP="002E5F02">
            <w:pPr>
              <w:tabs>
                <w:tab w:val="left" w:pos="36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Gautos (negrąžintos) paskolos ar jų dalis, jei jų bendra vertė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F239DDC"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2074063D" w14:textId="77777777" w:rsidTr="002E5F02">
        <w:tc>
          <w:tcPr>
            <w:tcW w:w="7763" w:type="dxa"/>
          </w:tcPr>
          <w:p w14:paraId="68891E73"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Kitiems asmenims paskolintos (negrąžintos) piniginės lėšos, jeigu jų bendra suma viršija 580 eurų</w:t>
            </w:r>
          </w:p>
        </w:tc>
        <w:tc>
          <w:tcPr>
            <w:tcW w:w="1701" w:type="dxa"/>
          </w:tcPr>
          <w:p w14:paraId="6F6212B1"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07D26A58" w14:textId="77777777" w:rsidTr="002E5F02">
        <w:tc>
          <w:tcPr>
            <w:tcW w:w="7763" w:type="dxa"/>
          </w:tcPr>
          <w:p w14:paraId="1E202841"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Valstybės kompensacijos už valstybės išperkamą nekilnojamąjį turtą ir atkuriamos santaupos bei kitos atkuriamos lėšos</w:t>
            </w:r>
          </w:p>
        </w:tc>
        <w:tc>
          <w:tcPr>
            <w:tcW w:w="1701" w:type="dxa"/>
          </w:tcPr>
          <w:p w14:paraId="52B5142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257B9FAF" w14:textId="77777777" w:rsidTr="002E5F02">
        <w:tc>
          <w:tcPr>
            <w:tcW w:w="7763" w:type="dxa"/>
          </w:tcPr>
          <w:p w14:paraId="2E466D77"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5EE22A3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bl>
    <w:p w14:paraId="12A9CC87" w14:textId="58A73CBD" w:rsidR="00AF6A6F" w:rsidRPr="00A91798" w:rsidRDefault="00AF6A6F" w:rsidP="005A10C5">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i/>
          <w:sz w:val="21"/>
          <w:szCs w:val="21"/>
        </w:rPr>
      </w:pPr>
      <w:r w:rsidRPr="00A91798">
        <w:rPr>
          <w:rFonts w:ascii="Times New Roman" w:eastAsia="Times New Roman" w:hAnsi="Times New Roman" w:cs="Times New Roman"/>
          <w:i/>
          <w:sz w:val="21"/>
          <w:szCs w:val="21"/>
          <w:vertAlign w:val="superscript"/>
        </w:rPr>
        <w:t>1</w:t>
      </w:r>
      <w:r w:rsidR="0066047F" w:rsidRPr="00A91798">
        <w:rPr>
          <w:rFonts w:ascii="Times New Roman" w:eastAsia="Times New Roman" w:hAnsi="Times New Roman" w:cs="Times New Roman"/>
          <w:i/>
          <w:sz w:val="21"/>
          <w:szCs w:val="21"/>
        </w:rPr>
        <w:t>Pridedami turimi turto įsigijimą patvirtinantys dokumentai</w:t>
      </w:r>
      <w:r w:rsidRPr="007B3C50">
        <w:rPr>
          <w:rFonts w:ascii="Times New Roman" w:eastAsia="Times New Roman" w:hAnsi="Times New Roman" w:cs="Times New Roman"/>
          <w:i/>
          <w:sz w:val="21"/>
          <w:szCs w:val="21"/>
        </w:rPr>
        <w:t>.</w:t>
      </w:r>
      <w:r w:rsidR="005A10C5" w:rsidRPr="007B3C50">
        <w:rPr>
          <w:rFonts w:ascii="Times New Roman" w:eastAsia="Times New Roman" w:hAnsi="Times New Roman" w:cs="Times New Roman"/>
          <w:i/>
          <w:sz w:val="21"/>
          <w:szCs w:val="21"/>
        </w:rPr>
        <w:t xml:space="preserve"> Pareiškėjui nereikia pateikti dokumentų, jei informacija gaunama iš valstybės registrų ir žinybinių registrų bei valstybės</w:t>
      </w:r>
      <w:r w:rsidR="005A10C5" w:rsidRPr="005A10C5">
        <w:rPr>
          <w:rFonts w:ascii="Times New Roman" w:eastAsia="Times New Roman" w:hAnsi="Times New Roman" w:cs="Times New Roman"/>
          <w:i/>
          <w:sz w:val="21"/>
          <w:szCs w:val="21"/>
        </w:rPr>
        <w:t xml:space="preserve"> informacinių sistemų.</w:t>
      </w:r>
    </w:p>
    <w:p w14:paraId="17180341" w14:textId="77777777" w:rsidR="0066047F" w:rsidRPr="00A91798" w:rsidRDefault="0066047F" w:rsidP="005A10C5">
      <w:pPr>
        <w:spacing w:after="0" w:line="240" w:lineRule="auto"/>
        <w:jc w:val="both"/>
        <w:rPr>
          <w:rFonts w:ascii="Times New Roman" w:eastAsia="Times New Roman" w:hAnsi="Times New Roman" w:cs="Times New Roman"/>
          <w:sz w:val="21"/>
          <w:szCs w:val="21"/>
        </w:rPr>
      </w:pPr>
    </w:p>
    <w:p w14:paraId="0F418E89"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6105E0E7"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3991F488" w14:textId="77777777" w:rsidR="00AF6A6F" w:rsidRPr="00A91798" w:rsidRDefault="0066047F" w:rsidP="0066047F">
      <w:pPr>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Pareiškėjas       ___________________</w:t>
      </w:r>
      <w:r w:rsidRPr="00A91798">
        <w:rPr>
          <w:rFonts w:ascii="Times New Roman" w:eastAsia="Times New Roman" w:hAnsi="Times New Roman" w:cs="Times New Roman"/>
          <w:sz w:val="21"/>
          <w:szCs w:val="21"/>
        </w:rPr>
        <w:tab/>
        <w:t xml:space="preserve">            ________________________________________                                     </w:t>
      </w:r>
      <w:r w:rsidRPr="00A91798">
        <w:rPr>
          <w:rFonts w:ascii="Times New Roman" w:eastAsia="Times New Roman" w:hAnsi="Times New Roman" w:cs="Times New Roman"/>
          <w:sz w:val="21"/>
          <w:szCs w:val="21"/>
        </w:rPr>
        <w:tab/>
        <w:t xml:space="preserve">                (parašas)                                                       (vardas ir pavardė)</w:t>
      </w:r>
      <w:r w:rsidR="00AF6A6F" w:rsidRPr="00A91798">
        <w:rPr>
          <w:rFonts w:ascii="Times New Roman" w:eastAsia="Times New Roman" w:hAnsi="Times New Roman" w:cs="Times New Roman"/>
          <w:sz w:val="21"/>
          <w:szCs w:val="21"/>
        </w:rPr>
        <w:t xml:space="preserve"> </w:t>
      </w:r>
    </w:p>
    <w:p w14:paraId="2F5ECD7D"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62FE0435"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45F45040" w14:textId="77777777" w:rsidR="0066047F" w:rsidRPr="00A91798" w:rsidRDefault="0066047F" w:rsidP="00AF6A6F">
      <w:pPr>
        <w:spacing w:after="0" w:line="240" w:lineRule="auto"/>
        <w:jc w:val="center"/>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_____________________</w:t>
      </w:r>
    </w:p>
    <w:p w14:paraId="48B78FC6" w14:textId="77777777" w:rsidR="0066047F" w:rsidRPr="00A91798" w:rsidRDefault="0066047F" w:rsidP="0066047F">
      <w:pPr>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rPr>
      </w:pPr>
    </w:p>
    <w:sectPr w:rsidR="0066047F" w:rsidRPr="00A917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F"/>
    <w:rsid w:val="000D4B38"/>
    <w:rsid w:val="001B644C"/>
    <w:rsid w:val="00223211"/>
    <w:rsid w:val="004C7E4E"/>
    <w:rsid w:val="005A10C5"/>
    <w:rsid w:val="00615400"/>
    <w:rsid w:val="0066047F"/>
    <w:rsid w:val="006E20E7"/>
    <w:rsid w:val="007B3C50"/>
    <w:rsid w:val="009940F9"/>
    <w:rsid w:val="009D4AE7"/>
    <w:rsid w:val="00A44F8E"/>
    <w:rsid w:val="00A80295"/>
    <w:rsid w:val="00A91798"/>
    <w:rsid w:val="00A92A26"/>
    <w:rsid w:val="00AF6A6F"/>
    <w:rsid w:val="00CE0789"/>
    <w:rsid w:val="00D818D6"/>
    <w:rsid w:val="00E9309E"/>
    <w:rsid w:val="00F053EB"/>
    <w:rsid w:val="00F71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3FFE6-9FE7-4A6B-86D6-7B5467A7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04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940F9"/>
    <w:rPr>
      <w:sz w:val="16"/>
      <w:szCs w:val="16"/>
    </w:rPr>
  </w:style>
  <w:style w:type="paragraph" w:styleId="Komentarotekstas">
    <w:name w:val="annotation text"/>
    <w:basedOn w:val="prastasis"/>
    <w:link w:val="KomentarotekstasDiagrama"/>
    <w:uiPriority w:val="99"/>
    <w:semiHidden/>
    <w:unhideWhenUsed/>
    <w:rsid w:val="009940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40F9"/>
    <w:rPr>
      <w:sz w:val="20"/>
      <w:szCs w:val="20"/>
    </w:rPr>
  </w:style>
  <w:style w:type="paragraph" w:styleId="Komentarotema">
    <w:name w:val="annotation subject"/>
    <w:basedOn w:val="Komentarotekstas"/>
    <w:next w:val="Komentarotekstas"/>
    <w:link w:val="KomentarotemaDiagrama"/>
    <w:uiPriority w:val="99"/>
    <w:semiHidden/>
    <w:unhideWhenUsed/>
    <w:rsid w:val="009940F9"/>
    <w:rPr>
      <w:b/>
      <w:bCs/>
    </w:rPr>
  </w:style>
  <w:style w:type="character" w:customStyle="1" w:styleId="KomentarotemaDiagrama">
    <w:name w:val="Komentaro tema Diagrama"/>
    <w:basedOn w:val="KomentarotekstasDiagrama"/>
    <w:link w:val="Komentarotema"/>
    <w:uiPriority w:val="99"/>
    <w:semiHidden/>
    <w:rsid w:val="009940F9"/>
    <w:rPr>
      <w:b/>
      <w:bCs/>
      <w:sz w:val="20"/>
      <w:szCs w:val="20"/>
    </w:rPr>
  </w:style>
  <w:style w:type="paragraph" w:styleId="Debesliotekstas">
    <w:name w:val="Balloon Text"/>
    <w:basedOn w:val="prastasis"/>
    <w:link w:val="DebesliotekstasDiagrama"/>
    <w:uiPriority w:val="99"/>
    <w:semiHidden/>
    <w:unhideWhenUsed/>
    <w:rsid w:val="009940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4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1409</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Dobrovolskienė</dc:creator>
  <cp:lastModifiedBy>Vartotojas</cp:lastModifiedBy>
  <cp:revision>2</cp:revision>
  <cp:lastPrinted>2017-06-22T08:20:00Z</cp:lastPrinted>
  <dcterms:created xsi:type="dcterms:W3CDTF">2021-08-25T13:14:00Z</dcterms:created>
  <dcterms:modified xsi:type="dcterms:W3CDTF">2021-08-25T13:14:00Z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-1159724513</vt:i4>
  </property>
  <property fmtid="{D5CDD505-2E9C-101B-9397-08002B2CF9AE}" pid="3" name="_NewReviewCycle">
    <vt:lpwstr/>
  </property>
  <property fmtid="{D5CDD505-2E9C-101B-9397-08002B2CF9AE}" pid="4" name="_EmailSubject">
    <vt:lpwstr>Dėl įsakymo</vt:lpwstr>
  </property>
  <property fmtid="{D5CDD505-2E9C-101B-9397-08002B2CF9AE}" pid="5" name="_AuthorEmail">
    <vt:lpwstr>Aldona.Dobrovolskiene@socmin.lt</vt:lpwstr>
  </property>
  <property fmtid="{D5CDD505-2E9C-101B-9397-08002B2CF9AE}" pid="6" name="_AuthorEmailDisplayName">
    <vt:lpwstr>Aldona Dobrovolskienė</vt:lpwstr>
  </property>
  <property fmtid="{D5CDD505-2E9C-101B-9397-08002B2CF9AE}" pid="7" name="_PreviousAdHocReviewCycleID">
    <vt:i4>-344532545</vt:i4>
  </property>
  <property fmtid="{D5CDD505-2E9C-101B-9397-08002B2CF9AE}" pid="8" name="_ReviewingToolsShownOnce">
    <vt:lpwstr/>
  </property>
</Properties>
</file>