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93F2" w14:textId="4A9F89A2" w:rsidR="00D82D99" w:rsidRPr="00064446" w:rsidRDefault="00720038">
      <w:pPr>
        <w:jc w:val="center"/>
        <w:rPr>
          <w:bCs/>
          <w:szCs w:val="24"/>
          <w:lang w:eastAsia="lt-LT"/>
        </w:rPr>
      </w:pPr>
      <w:r w:rsidRPr="00064446">
        <w:rPr>
          <w:b/>
          <w:bCs/>
          <w:szCs w:val="24"/>
          <w:lang w:eastAsia="lt-LT"/>
        </w:rPr>
        <w:t>VARĖNOS RAJONO SAVIVALDYBĖ</w:t>
      </w:r>
    </w:p>
    <w:p w14:paraId="69EE78A7" w14:textId="77777777" w:rsidR="00D82D99" w:rsidRDefault="00D82D99">
      <w:pPr>
        <w:jc w:val="center"/>
        <w:rPr>
          <w:b/>
          <w:bCs/>
          <w:szCs w:val="24"/>
          <w:lang w:eastAsia="lt-LT"/>
        </w:rPr>
      </w:pPr>
    </w:p>
    <w:p w14:paraId="7C979979" w14:textId="15EE9FE8" w:rsidR="00D82D99" w:rsidRDefault="00720038">
      <w:pPr>
        <w:jc w:val="center"/>
        <w:rPr>
          <w:b/>
          <w:bCs/>
          <w:szCs w:val="24"/>
          <w:lang w:eastAsia="lt-LT"/>
        </w:rPr>
      </w:pPr>
      <w:r w:rsidRPr="00720038">
        <w:rPr>
          <w:b/>
          <w:szCs w:val="24"/>
          <w:lang w:eastAsia="lt-LT"/>
        </w:rPr>
        <w:t>2025 METŲ</w:t>
      </w:r>
      <w:r>
        <w:rPr>
          <w:bCs/>
          <w:szCs w:val="24"/>
          <w:lang w:eastAsia="lt-LT"/>
        </w:rPr>
        <w:t xml:space="preserve"> </w:t>
      </w:r>
      <w:r w:rsidR="00233AE1">
        <w:rPr>
          <w:b/>
          <w:bCs/>
          <w:szCs w:val="24"/>
          <w:lang w:eastAsia="lt-LT"/>
        </w:rPr>
        <w:t xml:space="preserve">SAVIVALDYBĖS BIUDŽETO VYKDYMO </w:t>
      </w:r>
    </w:p>
    <w:p w14:paraId="37ED3344" w14:textId="77777777" w:rsidR="00D82D99" w:rsidRDefault="00233AE1">
      <w:pPr>
        <w:jc w:val="center"/>
        <w:rPr>
          <w:b/>
          <w:bCs/>
          <w:szCs w:val="24"/>
          <w:lang w:eastAsia="lt-LT"/>
        </w:rPr>
      </w:pPr>
      <w:r>
        <w:rPr>
          <w:b/>
          <w:bCs/>
          <w:szCs w:val="24"/>
          <w:lang w:eastAsia="lt-LT"/>
        </w:rPr>
        <w:t>ATASKAITŲ RINKINIO</w:t>
      </w:r>
    </w:p>
    <w:p w14:paraId="78BE24FC" w14:textId="20B6FD00" w:rsidR="00D82D99" w:rsidRDefault="00233AE1">
      <w:pPr>
        <w:jc w:val="center"/>
        <w:rPr>
          <w:b/>
          <w:bCs/>
          <w:szCs w:val="24"/>
          <w:lang w:eastAsia="lt-LT"/>
        </w:rPr>
      </w:pPr>
      <w:r>
        <w:rPr>
          <w:b/>
          <w:bCs/>
          <w:szCs w:val="24"/>
          <w:lang w:eastAsia="lt-LT"/>
        </w:rPr>
        <w:t>AIŠKINAMASIS RAŠTAS</w:t>
      </w:r>
    </w:p>
    <w:p w14:paraId="319DBF19" w14:textId="77777777" w:rsidR="00D82D99" w:rsidRDefault="00D82D99">
      <w:pPr>
        <w:jc w:val="center"/>
        <w:rPr>
          <w:color w:val="000000"/>
          <w:sz w:val="18"/>
          <w:szCs w:val="18"/>
          <w:lang w:eastAsia="lt-LT"/>
        </w:rPr>
      </w:pPr>
    </w:p>
    <w:p w14:paraId="0BB8FD20" w14:textId="33D8E56A" w:rsidR="00D82D99" w:rsidRDefault="00720038">
      <w:pPr>
        <w:jc w:val="center"/>
        <w:rPr>
          <w:szCs w:val="24"/>
          <w:lang w:eastAsia="lt-LT"/>
        </w:rPr>
      </w:pPr>
      <w:r w:rsidRPr="007C6856">
        <w:rPr>
          <w:szCs w:val="24"/>
          <w:lang w:eastAsia="lt-LT"/>
        </w:rPr>
        <w:t>2026-02-</w:t>
      </w:r>
      <w:r w:rsidR="007C6856" w:rsidRPr="007C6856">
        <w:rPr>
          <w:szCs w:val="24"/>
          <w:lang w:eastAsia="lt-LT"/>
        </w:rPr>
        <w:t>19</w:t>
      </w:r>
      <w:r w:rsidRPr="007C6856">
        <w:rPr>
          <w:szCs w:val="24"/>
          <w:lang w:eastAsia="lt-LT"/>
        </w:rPr>
        <w:t xml:space="preserve">  </w:t>
      </w:r>
      <w:r w:rsidR="00233AE1" w:rsidRPr="007C6856">
        <w:rPr>
          <w:szCs w:val="24"/>
          <w:lang w:eastAsia="lt-LT"/>
        </w:rPr>
        <w:t xml:space="preserve">Nr. </w:t>
      </w:r>
      <w:r w:rsidR="00064446" w:rsidRPr="007C6856">
        <w:rPr>
          <w:szCs w:val="24"/>
          <w:lang w:eastAsia="lt-LT"/>
        </w:rPr>
        <w:t>1</w:t>
      </w:r>
    </w:p>
    <w:p w14:paraId="118A336D" w14:textId="77777777" w:rsidR="00D82D99" w:rsidRDefault="00D82D99">
      <w:pPr>
        <w:ind w:left="2592" w:firstLine="1296"/>
        <w:rPr>
          <w:color w:val="000000"/>
          <w:szCs w:val="24"/>
          <w:lang w:eastAsia="lt-LT"/>
        </w:rPr>
      </w:pPr>
    </w:p>
    <w:p w14:paraId="7DE38A73" w14:textId="77777777" w:rsidR="00D82D99" w:rsidRDefault="00233AE1">
      <w:pPr>
        <w:tabs>
          <w:tab w:val="left" w:pos="426"/>
        </w:tabs>
        <w:jc w:val="center"/>
        <w:rPr>
          <w:b/>
          <w:szCs w:val="24"/>
          <w:lang w:eastAsia="lt-LT"/>
        </w:rPr>
      </w:pPr>
      <w:r>
        <w:rPr>
          <w:b/>
          <w:szCs w:val="24"/>
          <w:lang w:eastAsia="lt-LT"/>
        </w:rPr>
        <w:t>I SKYRIUS</w:t>
      </w:r>
    </w:p>
    <w:p w14:paraId="1D436447" w14:textId="77777777" w:rsidR="00D82D99" w:rsidRDefault="00233AE1">
      <w:pPr>
        <w:jc w:val="center"/>
        <w:rPr>
          <w:b/>
          <w:szCs w:val="24"/>
          <w:lang w:eastAsia="lt-LT"/>
        </w:rPr>
      </w:pPr>
      <w:r>
        <w:rPr>
          <w:b/>
          <w:szCs w:val="24"/>
          <w:lang w:eastAsia="lt-LT"/>
        </w:rPr>
        <w:t>BENDROSIOS NUOSTATOS</w:t>
      </w:r>
    </w:p>
    <w:p w14:paraId="7D6682FE" w14:textId="77777777" w:rsidR="004D0DC6" w:rsidRDefault="004D0DC6">
      <w:pPr>
        <w:jc w:val="center"/>
        <w:rPr>
          <w:b/>
          <w:szCs w:val="24"/>
          <w:lang w:eastAsia="lt-LT"/>
        </w:rPr>
      </w:pPr>
    </w:p>
    <w:p w14:paraId="37B82B00" w14:textId="77777777" w:rsidR="00720038" w:rsidRPr="00ED7E21" w:rsidRDefault="00720038" w:rsidP="00720038">
      <w:pPr>
        <w:shd w:val="clear" w:color="auto" w:fill="FFFFFF"/>
        <w:spacing w:line="360" w:lineRule="auto"/>
        <w:ind w:right="-1" w:firstLine="709"/>
        <w:jc w:val="both"/>
      </w:pPr>
      <w:r w:rsidRPr="00D41664">
        <w:t>Varėnos rajono savivaldybės (toliau – Savivaldybė) iždas</w:t>
      </w:r>
      <w:r w:rsidRPr="00ED7E21">
        <w:t xml:space="preserve"> yra juridinio asmens teisių neturintis išteklių fondas Savivaldybės ištekliams kaupti, valdyti ir naudoti. Savivaldybės iždo paskirtis – užtikrinti efektyvų ir racionalų Savivaldybės finansinių išteklių valdymą ir jų naudojimą Lietuvos Respublikos vietos savivaldos įstatymu priskirtoms savivaldybėms funkcijoms ir savivaldybėms įstatymų perduotoms valstybės funkcijoms atlikti, Savivaldybės tarybos patvirtinto </w:t>
      </w:r>
      <w:r w:rsidRPr="00953AE3">
        <w:t>Savivaldybės strateginio</w:t>
      </w:r>
      <w:r w:rsidRPr="00ED7E21">
        <w:t xml:space="preserve"> veiklos plano programoms ir jose suplanuotoms priemonėms finansuoti.</w:t>
      </w:r>
    </w:p>
    <w:p w14:paraId="2F568175" w14:textId="77777777" w:rsidR="00720038" w:rsidRPr="00ED7E21" w:rsidRDefault="00720038" w:rsidP="00720038">
      <w:pPr>
        <w:shd w:val="clear" w:color="auto" w:fill="FFFFFF"/>
        <w:spacing w:line="360" w:lineRule="auto"/>
        <w:ind w:firstLine="709"/>
        <w:jc w:val="both"/>
      </w:pPr>
      <w:r w:rsidRPr="00ED7E21">
        <w:t xml:space="preserve">Savivaldybės iždo apskaitą tvarko ir </w:t>
      </w:r>
      <w:r w:rsidRPr="00BB4619">
        <w:t>biudžeto vykdymo ataskaitų</w:t>
      </w:r>
      <w:r w:rsidRPr="00ED7E21">
        <w:t xml:space="preserve"> rinkinį rengia Savivaldybės administracijos struktūrinis padalinys – Finansų ir </w:t>
      </w:r>
      <w:r>
        <w:t>strateginio planavimo</w:t>
      </w:r>
      <w:r w:rsidRPr="00ED7E21">
        <w:t xml:space="preserve"> skyrius.</w:t>
      </w:r>
    </w:p>
    <w:p w14:paraId="24B132E8" w14:textId="77777777" w:rsidR="00720038" w:rsidRPr="00ED7E21" w:rsidRDefault="00720038" w:rsidP="00720038">
      <w:pPr>
        <w:shd w:val="clear" w:color="auto" w:fill="FFFFFF"/>
        <w:spacing w:line="360" w:lineRule="auto"/>
        <w:ind w:firstLine="709"/>
        <w:jc w:val="both"/>
      </w:pPr>
      <w:r w:rsidRPr="00ED7E21">
        <w:t xml:space="preserve">Finansų ir </w:t>
      </w:r>
      <w:r>
        <w:t>strateginio planavimo</w:t>
      </w:r>
      <w:r w:rsidRPr="00ED7E21">
        <w:t xml:space="preserve"> skyrius savo veikloje vadovaujasi Lietuvos Respublikos Konstitucija, Lietuvos Respublikos vietos savivaldos</w:t>
      </w:r>
      <w:r>
        <w:t xml:space="preserve"> įstatymu</w:t>
      </w:r>
      <w:r w:rsidRPr="00ED7E21">
        <w:t>, Lietuvos Respublikos biudžeto sandaros įstatymu ir kitais įstatymais, Lietuvos Respublikos Vyriausybės nutarimais, Savivaldybės tarybos sprendimais, Savivaldybės mero potvarkiais, Savivaldybės administracijos direktoriaus įsakymais ir kitais teisės aktais.</w:t>
      </w:r>
    </w:p>
    <w:p w14:paraId="471BE46D" w14:textId="70B6FE81" w:rsidR="00D82D99" w:rsidRDefault="00720038">
      <w:pPr>
        <w:jc w:val="both"/>
        <w:rPr>
          <w:sz w:val="22"/>
          <w:szCs w:val="22"/>
          <w:lang w:eastAsia="lt-LT"/>
        </w:rPr>
      </w:pPr>
      <w:r>
        <w:rPr>
          <w:sz w:val="22"/>
          <w:szCs w:val="22"/>
          <w:lang w:eastAsia="lt-LT"/>
        </w:rPr>
        <w:tab/>
      </w:r>
    </w:p>
    <w:p w14:paraId="141700D1" w14:textId="77777777" w:rsidR="00D82D99" w:rsidRDefault="00233AE1">
      <w:pPr>
        <w:tabs>
          <w:tab w:val="left" w:pos="426"/>
        </w:tabs>
        <w:jc w:val="center"/>
        <w:rPr>
          <w:b/>
          <w:szCs w:val="24"/>
          <w:lang w:eastAsia="lt-LT"/>
        </w:rPr>
      </w:pPr>
      <w:r>
        <w:rPr>
          <w:b/>
          <w:caps/>
          <w:szCs w:val="24"/>
          <w:lang w:eastAsia="lt-LT"/>
        </w:rPr>
        <w:t>II skyrius</w:t>
      </w:r>
    </w:p>
    <w:p w14:paraId="518715E3" w14:textId="77777777" w:rsidR="00D82D99" w:rsidRDefault="00233AE1">
      <w:pPr>
        <w:tabs>
          <w:tab w:val="left" w:pos="426"/>
        </w:tabs>
        <w:jc w:val="center"/>
        <w:rPr>
          <w:b/>
          <w:szCs w:val="24"/>
          <w:lang w:eastAsia="lt-LT"/>
        </w:rPr>
      </w:pPr>
      <w:r>
        <w:rPr>
          <w:b/>
          <w:caps/>
          <w:szCs w:val="24"/>
          <w:lang w:eastAsia="lt-LT"/>
        </w:rPr>
        <w:t>Apskaitos politika</w:t>
      </w:r>
    </w:p>
    <w:p w14:paraId="465F75A3" w14:textId="77777777" w:rsidR="00D82D99" w:rsidRDefault="00D82D99">
      <w:pPr>
        <w:jc w:val="center"/>
        <w:rPr>
          <w:b/>
          <w:szCs w:val="24"/>
          <w:lang w:eastAsia="lt-LT"/>
        </w:rPr>
      </w:pPr>
    </w:p>
    <w:p w14:paraId="5B017202" w14:textId="77777777" w:rsidR="00C30F7C" w:rsidRPr="00ED7E21" w:rsidRDefault="00C30F7C" w:rsidP="00C30F7C">
      <w:pPr>
        <w:shd w:val="clear" w:color="auto" w:fill="FFFFFF"/>
        <w:spacing w:line="360" w:lineRule="auto"/>
        <w:ind w:firstLine="709"/>
        <w:jc w:val="both"/>
      </w:pPr>
      <w:r w:rsidRPr="00ED7E21">
        <w:t>Biudžeto vykdymo ataskaitose pateikti duomenys išreikšti Lietuvos Respublikos piniginiais vienetais – eurais.</w:t>
      </w:r>
    </w:p>
    <w:p w14:paraId="5B71CC8F" w14:textId="332114EC" w:rsidR="00C30F7C" w:rsidRPr="006A1B39" w:rsidRDefault="00C30F7C" w:rsidP="00C30F7C">
      <w:pPr>
        <w:shd w:val="clear" w:color="auto" w:fill="FFFFFF"/>
        <w:spacing w:line="360" w:lineRule="auto"/>
        <w:ind w:firstLine="709"/>
        <w:jc w:val="both"/>
      </w:pPr>
      <w:r w:rsidRPr="00ED7E21">
        <w:t>Pajamų ir išlaidų apskaitai taikomas pinigų principas. Pajamos ir išlaidos pripažįstamos, registruojamos apskaitoje ir rodomos biudžeto vykdymo ataskaitose tą ataskaitinį laikotarpį, kurį yra gaunami arba išleidžiami pinigai.</w:t>
      </w:r>
    </w:p>
    <w:p w14:paraId="1F14F905" w14:textId="77777777" w:rsidR="004A306C" w:rsidRDefault="004A306C" w:rsidP="004A306C">
      <w:pPr>
        <w:tabs>
          <w:tab w:val="left" w:pos="426"/>
        </w:tabs>
        <w:jc w:val="center"/>
        <w:rPr>
          <w:b/>
          <w:szCs w:val="24"/>
          <w:lang w:eastAsia="lt-LT"/>
        </w:rPr>
      </w:pPr>
    </w:p>
    <w:p w14:paraId="0A3718C8" w14:textId="172C71C3" w:rsidR="00D82D99" w:rsidRDefault="00233AE1">
      <w:pPr>
        <w:tabs>
          <w:tab w:val="left" w:pos="426"/>
        </w:tabs>
        <w:jc w:val="center"/>
        <w:rPr>
          <w:b/>
          <w:szCs w:val="24"/>
          <w:lang w:eastAsia="lt-LT"/>
        </w:rPr>
      </w:pPr>
      <w:r>
        <w:rPr>
          <w:b/>
          <w:szCs w:val="24"/>
          <w:lang w:eastAsia="lt-LT"/>
        </w:rPr>
        <w:t>III SKYRIUS</w:t>
      </w:r>
    </w:p>
    <w:p w14:paraId="7EBE6148" w14:textId="649F4D09" w:rsidR="00D82D99" w:rsidRDefault="00233AE1">
      <w:pPr>
        <w:tabs>
          <w:tab w:val="left" w:pos="426"/>
        </w:tabs>
        <w:jc w:val="center"/>
        <w:rPr>
          <w:b/>
          <w:szCs w:val="24"/>
          <w:lang w:eastAsia="lt-LT"/>
        </w:rPr>
      </w:pPr>
      <w:r>
        <w:rPr>
          <w:b/>
          <w:szCs w:val="24"/>
          <w:lang w:eastAsia="lt-LT"/>
        </w:rPr>
        <w:t>SAVIVALDYBĖS BIUDŽETO PAJAMŲ PLANO VYKDYMAS</w:t>
      </w:r>
    </w:p>
    <w:p w14:paraId="68A702F0" w14:textId="77777777" w:rsidR="00D82D99" w:rsidRDefault="00D82D99">
      <w:pPr>
        <w:jc w:val="center"/>
        <w:rPr>
          <w:b/>
          <w:sz w:val="22"/>
          <w:szCs w:val="22"/>
          <w:lang w:eastAsia="lt-LT"/>
        </w:rPr>
      </w:pPr>
    </w:p>
    <w:p w14:paraId="50DDEE21" w14:textId="7B70055D" w:rsidR="00EC6E1A" w:rsidRPr="00EC6E1A" w:rsidRDefault="00EC6E1A" w:rsidP="00EC6E1A">
      <w:pPr>
        <w:shd w:val="clear" w:color="auto" w:fill="FFFFFF"/>
        <w:spacing w:before="120" w:line="360" w:lineRule="auto"/>
        <w:ind w:firstLine="709"/>
        <w:jc w:val="both"/>
        <w:rPr>
          <w:highlight w:val="yellow"/>
        </w:rPr>
      </w:pPr>
      <w:r w:rsidRPr="00C5015B">
        <w:t>Savivaldybės taryba 2025 m. vasario 1</w:t>
      </w:r>
      <w:r w:rsidR="00442FA9" w:rsidRPr="00C5015B">
        <w:t>8</w:t>
      </w:r>
      <w:r w:rsidRPr="00C5015B">
        <w:t xml:space="preserve"> d. sprendimu Nr. T-X-</w:t>
      </w:r>
      <w:r w:rsidR="00442FA9" w:rsidRPr="00C5015B">
        <w:t>520</w:t>
      </w:r>
      <w:r w:rsidRPr="00C5015B">
        <w:rPr>
          <w:b/>
        </w:rPr>
        <w:t xml:space="preserve"> </w:t>
      </w:r>
      <w:r w:rsidRPr="00C5015B">
        <w:t xml:space="preserve">patvirtino Savivaldybės </w:t>
      </w:r>
      <w:r w:rsidR="0017759D">
        <w:t xml:space="preserve">2025–2027 metų </w:t>
      </w:r>
      <w:r w:rsidRPr="00C5015B">
        <w:t xml:space="preserve">biudžeto </w:t>
      </w:r>
      <w:r w:rsidR="0017759D" w:rsidRPr="00C5015B">
        <w:t xml:space="preserve">2025 metų </w:t>
      </w:r>
      <w:r w:rsidRPr="00C5015B">
        <w:t xml:space="preserve">pajamų su dotacijomis planą – </w:t>
      </w:r>
      <w:r w:rsidR="00C5015B" w:rsidRPr="00C5015B">
        <w:t>45 588,0</w:t>
      </w:r>
      <w:r w:rsidRPr="00C5015B">
        <w:t xml:space="preserve"> </w:t>
      </w:r>
      <w:r w:rsidRPr="00C5015B">
        <w:rPr>
          <w:bCs/>
        </w:rPr>
        <w:t>tūkst. Eur.</w:t>
      </w:r>
      <w:r w:rsidRPr="00C5015B">
        <w:t xml:space="preserve"> </w:t>
      </w:r>
    </w:p>
    <w:p w14:paraId="6D054B7E" w14:textId="3E43A772" w:rsidR="00EC6E1A" w:rsidRPr="00EC6E1A" w:rsidRDefault="00EC6E1A" w:rsidP="00EC6E1A">
      <w:pPr>
        <w:shd w:val="clear" w:color="auto" w:fill="FFFFFF"/>
        <w:spacing w:line="360" w:lineRule="auto"/>
        <w:ind w:firstLine="709"/>
        <w:jc w:val="both"/>
        <w:rPr>
          <w:highlight w:val="yellow"/>
        </w:rPr>
      </w:pPr>
      <w:r w:rsidRPr="00B1354B">
        <w:lastRenderedPageBreak/>
        <w:t>Savivaldybės tarybos 202</w:t>
      </w:r>
      <w:r w:rsidR="00442FA9" w:rsidRPr="00B1354B">
        <w:t>5</w:t>
      </w:r>
      <w:r w:rsidRPr="00B1354B">
        <w:t xml:space="preserve"> m. gruodžio 2</w:t>
      </w:r>
      <w:r w:rsidR="00442FA9" w:rsidRPr="00B1354B">
        <w:t>3</w:t>
      </w:r>
      <w:r w:rsidRPr="00B1354B">
        <w:t xml:space="preserve"> d. sprendimu Nr. T-X-</w:t>
      </w:r>
      <w:r w:rsidR="00442FA9" w:rsidRPr="00B1354B">
        <w:t>760</w:t>
      </w:r>
      <w:r w:rsidRPr="00B1354B">
        <w:t xml:space="preserve"> patikslintas </w:t>
      </w:r>
      <w:r w:rsidRPr="007B278F">
        <w:t xml:space="preserve">Savivaldybės biudžeto </w:t>
      </w:r>
      <w:r w:rsidR="0017759D" w:rsidRPr="007B278F">
        <w:t xml:space="preserve">2025 metų </w:t>
      </w:r>
      <w:r w:rsidRPr="007B278F">
        <w:t xml:space="preserve">pajamų planas sudarė </w:t>
      </w:r>
      <w:r w:rsidR="007B278F" w:rsidRPr="007B278F">
        <w:t>51 539,7</w:t>
      </w:r>
      <w:r w:rsidRPr="007B278F">
        <w:t xml:space="preserve"> tūkst. Eur. </w:t>
      </w:r>
      <w:r w:rsidRPr="007B278F">
        <w:rPr>
          <w:iCs/>
        </w:rPr>
        <w:t>202</w:t>
      </w:r>
      <w:r w:rsidR="007B278F" w:rsidRPr="007B278F">
        <w:rPr>
          <w:iCs/>
        </w:rPr>
        <w:t>4</w:t>
      </w:r>
      <w:r w:rsidRPr="007B278F">
        <w:rPr>
          <w:iCs/>
        </w:rPr>
        <w:t xml:space="preserve"> m. gruodžio 31 d. nepanaudotų biudžeto lėšų likutis – </w:t>
      </w:r>
      <w:r w:rsidR="007B278F" w:rsidRPr="007B278F">
        <w:t>5 401,4</w:t>
      </w:r>
      <w:r w:rsidRPr="007B278F">
        <w:t xml:space="preserve"> tūkst. Eur</w:t>
      </w:r>
      <w:r w:rsidRPr="007B278F">
        <w:rPr>
          <w:iCs/>
        </w:rPr>
        <w:t>.</w:t>
      </w:r>
    </w:p>
    <w:p w14:paraId="7F2E0300" w14:textId="0EE697C5" w:rsidR="00EC6E1A" w:rsidRPr="00EC6E1A" w:rsidRDefault="00EC6E1A" w:rsidP="00EC6E1A">
      <w:pPr>
        <w:shd w:val="clear" w:color="auto" w:fill="FFFFFF"/>
        <w:spacing w:line="360" w:lineRule="auto"/>
        <w:ind w:firstLine="709"/>
        <w:jc w:val="both"/>
      </w:pPr>
      <w:r w:rsidRPr="00EC6E1A">
        <w:t xml:space="preserve">2025 m. gruodžio 31 d. pajamų su dotacijomis įplaukos sudarė </w:t>
      </w:r>
      <w:r w:rsidRPr="00EC6E1A">
        <w:rPr>
          <w:bCs/>
        </w:rPr>
        <w:t>53 002,0 tūkst.</w:t>
      </w:r>
      <w:r w:rsidRPr="00EC6E1A">
        <w:t xml:space="preserve"> Eur, iš jų:</w:t>
      </w:r>
    </w:p>
    <w:p w14:paraId="23361C4D" w14:textId="32A818B2" w:rsidR="00EC6E1A" w:rsidRPr="00EC6E1A" w:rsidRDefault="00EC6E1A" w:rsidP="00EC6E1A">
      <w:pPr>
        <w:numPr>
          <w:ilvl w:val="0"/>
          <w:numId w:val="1"/>
        </w:numPr>
        <w:shd w:val="clear" w:color="auto" w:fill="FFFFFF"/>
        <w:spacing w:line="360" w:lineRule="auto"/>
        <w:jc w:val="both"/>
      </w:pPr>
      <w:r w:rsidRPr="00EC6E1A">
        <w:t xml:space="preserve">mokesčiai </w:t>
      </w:r>
      <w:r w:rsidRPr="00EC6E1A">
        <w:rPr>
          <w:iCs/>
        </w:rPr>
        <w:t xml:space="preserve">– </w:t>
      </w:r>
      <w:r w:rsidRPr="00EC6E1A">
        <w:t>30 315,5 tūkst. Eur;</w:t>
      </w:r>
    </w:p>
    <w:p w14:paraId="6DE86ED7" w14:textId="3CF64EE6" w:rsidR="00EC6E1A" w:rsidRPr="00EC6E1A" w:rsidRDefault="00EC6E1A" w:rsidP="00EC6E1A">
      <w:pPr>
        <w:numPr>
          <w:ilvl w:val="0"/>
          <w:numId w:val="1"/>
        </w:numPr>
        <w:shd w:val="clear" w:color="auto" w:fill="FFFFFF"/>
        <w:spacing w:line="360" w:lineRule="auto"/>
        <w:jc w:val="both"/>
      </w:pPr>
      <w:r w:rsidRPr="00EC6E1A">
        <w:t xml:space="preserve">dotacijos </w:t>
      </w:r>
      <w:r w:rsidRPr="00EC6E1A">
        <w:rPr>
          <w:iCs/>
        </w:rPr>
        <w:t xml:space="preserve">– </w:t>
      </w:r>
      <w:r w:rsidRPr="00EC6E1A">
        <w:t>18 719,5 tūkst. Eur;</w:t>
      </w:r>
    </w:p>
    <w:p w14:paraId="08F12924" w14:textId="4E492D4A" w:rsidR="00EC6E1A" w:rsidRPr="00EC6E1A" w:rsidRDefault="00EC6E1A" w:rsidP="00EC6E1A">
      <w:pPr>
        <w:numPr>
          <w:ilvl w:val="0"/>
          <w:numId w:val="1"/>
        </w:numPr>
        <w:shd w:val="clear" w:color="auto" w:fill="FFFFFF"/>
        <w:spacing w:line="360" w:lineRule="auto"/>
        <w:jc w:val="both"/>
      </w:pPr>
      <w:r w:rsidRPr="00EC6E1A">
        <w:t xml:space="preserve">kitos pajamos </w:t>
      </w:r>
      <w:r w:rsidRPr="00EC6E1A">
        <w:rPr>
          <w:iCs/>
        </w:rPr>
        <w:t xml:space="preserve">– </w:t>
      </w:r>
      <w:r w:rsidRPr="00EC6E1A">
        <w:t>3 805,6 tūkst. Eur;</w:t>
      </w:r>
    </w:p>
    <w:p w14:paraId="26C40772" w14:textId="3F61EA9E" w:rsidR="00EC6E1A" w:rsidRPr="00EC6E1A" w:rsidRDefault="00EC6E1A" w:rsidP="00EC6E1A">
      <w:pPr>
        <w:numPr>
          <w:ilvl w:val="0"/>
          <w:numId w:val="1"/>
        </w:numPr>
        <w:shd w:val="clear" w:color="auto" w:fill="FFFFFF"/>
        <w:spacing w:line="360" w:lineRule="auto"/>
        <w:jc w:val="both"/>
      </w:pPr>
      <w:r w:rsidRPr="00EC6E1A">
        <w:t xml:space="preserve">materialiojo ir nematerialiojo turto realizavimo pajamos </w:t>
      </w:r>
      <w:r w:rsidRPr="00EC6E1A">
        <w:rPr>
          <w:iCs/>
        </w:rPr>
        <w:t xml:space="preserve">– </w:t>
      </w:r>
      <w:r w:rsidRPr="00EC6E1A">
        <w:t>161,4 tūkst. Eur.</w:t>
      </w:r>
    </w:p>
    <w:p w14:paraId="495E7130" w14:textId="391B939D" w:rsidR="00EC6E1A" w:rsidRDefault="00EC6E1A" w:rsidP="004A306C">
      <w:pPr>
        <w:shd w:val="clear" w:color="auto" w:fill="FFFFFF"/>
        <w:spacing w:line="360" w:lineRule="auto"/>
        <w:ind w:firstLine="709"/>
        <w:jc w:val="both"/>
      </w:pPr>
      <w:r w:rsidRPr="00EC6E1A">
        <w:rPr>
          <w:iCs/>
        </w:rPr>
        <w:t xml:space="preserve">Bendras 2025 metų </w:t>
      </w:r>
      <w:r w:rsidRPr="00EC6E1A">
        <w:t xml:space="preserve">biudžeto pajamų su dotacijomis plano įvykdymas sudarė 102,8 proc., </w:t>
      </w:r>
      <w:r w:rsidRPr="00EC6E1A">
        <w:br/>
        <w:t>t. y. gauta 1 462,3 tūkst. Eur daugia</w:t>
      </w:r>
      <w:r w:rsidR="004A306C">
        <w:t>u</w:t>
      </w:r>
      <w:r w:rsidRPr="00EC6E1A">
        <w:t>, negu planuot</w:t>
      </w:r>
      <w:r w:rsidRPr="00BB1E2B">
        <w:t>a.</w:t>
      </w:r>
    </w:p>
    <w:p w14:paraId="7B6657D1" w14:textId="77777777" w:rsidR="004A306C" w:rsidRDefault="004A306C" w:rsidP="004A306C">
      <w:pPr>
        <w:shd w:val="clear" w:color="auto" w:fill="FFFFFF"/>
        <w:ind w:firstLine="709"/>
        <w:jc w:val="both"/>
      </w:pPr>
    </w:p>
    <w:p w14:paraId="045E060C" w14:textId="70B0B4B1" w:rsidR="007C032A" w:rsidRPr="00192952" w:rsidRDefault="007C032A" w:rsidP="007C032A">
      <w:pPr>
        <w:spacing w:line="360" w:lineRule="auto"/>
        <w:jc w:val="center"/>
        <w:rPr>
          <w:b/>
        </w:rPr>
      </w:pPr>
      <w:r w:rsidRPr="00192952">
        <w:rPr>
          <w:b/>
        </w:rPr>
        <w:t>Biudžeto pajamų plano įvykdymas 202</w:t>
      </w:r>
      <w:r>
        <w:rPr>
          <w:b/>
        </w:rPr>
        <w:t>5</w:t>
      </w:r>
      <w:r w:rsidRPr="00192952">
        <w:rPr>
          <w:b/>
        </w:rPr>
        <w:t xml:space="preserve"> m</w:t>
      </w:r>
      <w:r w:rsidR="0086440C">
        <w:rPr>
          <w:b/>
        </w:rPr>
        <w:t>etais</w:t>
      </w:r>
    </w:p>
    <w:tbl>
      <w:tblPr>
        <w:tblW w:w="9615" w:type="dxa"/>
        <w:tblLook w:val="04A0" w:firstRow="1" w:lastRow="0" w:firstColumn="1" w:lastColumn="0" w:noHBand="0" w:noVBand="1"/>
      </w:tblPr>
      <w:tblGrid>
        <w:gridCol w:w="3837"/>
        <w:gridCol w:w="1520"/>
        <w:gridCol w:w="1341"/>
        <w:gridCol w:w="1513"/>
        <w:gridCol w:w="1404"/>
      </w:tblGrid>
      <w:tr w:rsidR="007C032A" w:rsidRPr="007C032A" w14:paraId="4ECE1F13" w14:textId="77777777" w:rsidTr="00233592">
        <w:trPr>
          <w:trHeight w:val="794"/>
          <w:tblHeader/>
        </w:trPr>
        <w:tc>
          <w:tcPr>
            <w:tcW w:w="38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58F333" w14:textId="77777777" w:rsidR="007C032A" w:rsidRPr="007C032A" w:rsidRDefault="007C032A" w:rsidP="007C032A">
            <w:pPr>
              <w:jc w:val="center"/>
              <w:rPr>
                <w:b/>
                <w:bCs/>
                <w:szCs w:val="24"/>
              </w:rPr>
            </w:pPr>
            <w:r w:rsidRPr="007C032A">
              <w:rPr>
                <w:b/>
                <w:bCs/>
                <w:szCs w:val="24"/>
              </w:rPr>
              <w:t>Pajamų rūšys</w:t>
            </w:r>
          </w:p>
        </w:tc>
        <w:tc>
          <w:tcPr>
            <w:tcW w:w="152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0768EAB" w14:textId="77777777" w:rsidR="007C032A" w:rsidRPr="007C032A" w:rsidRDefault="007C032A" w:rsidP="007C032A">
            <w:pPr>
              <w:jc w:val="center"/>
              <w:rPr>
                <w:b/>
                <w:bCs/>
                <w:szCs w:val="24"/>
              </w:rPr>
            </w:pPr>
            <w:r w:rsidRPr="007C032A">
              <w:rPr>
                <w:b/>
                <w:bCs/>
                <w:szCs w:val="24"/>
              </w:rPr>
              <w:t>Patikslintas pajamų planas, tūkst. Eur</w:t>
            </w:r>
          </w:p>
        </w:tc>
        <w:tc>
          <w:tcPr>
            <w:tcW w:w="134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F4C173B" w14:textId="77777777" w:rsidR="007C032A" w:rsidRPr="007C032A" w:rsidRDefault="007C032A" w:rsidP="007C032A">
            <w:pPr>
              <w:jc w:val="center"/>
              <w:rPr>
                <w:b/>
                <w:bCs/>
                <w:szCs w:val="24"/>
              </w:rPr>
            </w:pPr>
            <w:r w:rsidRPr="007C032A">
              <w:rPr>
                <w:b/>
                <w:bCs/>
                <w:szCs w:val="24"/>
              </w:rPr>
              <w:t>Faktiškai gauta pajamų, tūkst. Eur</w:t>
            </w:r>
          </w:p>
        </w:tc>
        <w:tc>
          <w:tcPr>
            <w:tcW w:w="1513"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523F57F" w14:textId="77777777" w:rsidR="007C032A" w:rsidRPr="007C032A" w:rsidRDefault="007C032A" w:rsidP="007C032A">
            <w:pPr>
              <w:jc w:val="center"/>
              <w:rPr>
                <w:b/>
                <w:bCs/>
                <w:szCs w:val="24"/>
              </w:rPr>
            </w:pPr>
            <w:r w:rsidRPr="007C032A">
              <w:rPr>
                <w:b/>
                <w:bCs/>
                <w:szCs w:val="24"/>
              </w:rPr>
              <w:t>Įvykdymas, proc.</w:t>
            </w:r>
          </w:p>
        </w:tc>
        <w:tc>
          <w:tcPr>
            <w:tcW w:w="140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F8DD26B" w14:textId="77777777" w:rsidR="007C032A" w:rsidRPr="007C032A" w:rsidRDefault="007C032A" w:rsidP="007C032A">
            <w:pPr>
              <w:jc w:val="center"/>
              <w:rPr>
                <w:b/>
                <w:bCs/>
                <w:szCs w:val="24"/>
              </w:rPr>
            </w:pPr>
            <w:r w:rsidRPr="007C032A">
              <w:rPr>
                <w:b/>
                <w:bCs/>
                <w:szCs w:val="24"/>
              </w:rPr>
              <w:t>Viršyta (+) / Negauta (-), tūkst. Eur</w:t>
            </w:r>
          </w:p>
        </w:tc>
      </w:tr>
      <w:tr w:rsidR="007C032A" w:rsidRPr="007C032A" w14:paraId="00A65D90" w14:textId="77777777" w:rsidTr="004A306C">
        <w:trPr>
          <w:trHeight w:val="70"/>
        </w:trPr>
        <w:tc>
          <w:tcPr>
            <w:tcW w:w="3837" w:type="dxa"/>
            <w:tcBorders>
              <w:top w:val="nil"/>
              <w:left w:val="single" w:sz="4" w:space="0" w:color="auto"/>
              <w:bottom w:val="single" w:sz="4" w:space="0" w:color="auto"/>
              <w:right w:val="single" w:sz="4" w:space="0" w:color="auto"/>
            </w:tcBorders>
            <w:shd w:val="clear" w:color="000000" w:fill="FFFFFF"/>
            <w:vAlign w:val="center"/>
            <w:hideMark/>
          </w:tcPr>
          <w:p w14:paraId="548AEB53" w14:textId="77777777" w:rsidR="007C032A" w:rsidRPr="007C032A" w:rsidRDefault="007C032A" w:rsidP="007C032A">
            <w:pPr>
              <w:rPr>
                <w:szCs w:val="24"/>
              </w:rPr>
            </w:pPr>
            <w:r w:rsidRPr="007C032A">
              <w:rPr>
                <w:szCs w:val="24"/>
              </w:rPr>
              <w:t>Mokesčiai</w:t>
            </w:r>
          </w:p>
        </w:tc>
        <w:tc>
          <w:tcPr>
            <w:tcW w:w="1520" w:type="dxa"/>
            <w:tcBorders>
              <w:top w:val="nil"/>
              <w:left w:val="nil"/>
              <w:bottom w:val="single" w:sz="4" w:space="0" w:color="auto"/>
              <w:right w:val="single" w:sz="4" w:space="0" w:color="auto"/>
            </w:tcBorders>
            <w:shd w:val="clear" w:color="000000" w:fill="FFFFFF"/>
            <w:vAlign w:val="center"/>
            <w:hideMark/>
          </w:tcPr>
          <w:p w14:paraId="7072BDAB" w14:textId="77777777" w:rsidR="007C032A" w:rsidRPr="007C032A" w:rsidRDefault="007C032A" w:rsidP="007C032A">
            <w:pPr>
              <w:jc w:val="right"/>
              <w:rPr>
                <w:szCs w:val="24"/>
                <w:lang w:val="en-US"/>
              </w:rPr>
            </w:pPr>
            <w:r w:rsidRPr="007C032A">
              <w:rPr>
                <w:szCs w:val="24"/>
                <w:lang w:val="en-US"/>
              </w:rPr>
              <w:t>29 071,0</w:t>
            </w:r>
          </w:p>
        </w:tc>
        <w:tc>
          <w:tcPr>
            <w:tcW w:w="1341" w:type="dxa"/>
            <w:tcBorders>
              <w:top w:val="nil"/>
              <w:left w:val="nil"/>
              <w:bottom w:val="single" w:sz="4" w:space="0" w:color="auto"/>
              <w:right w:val="single" w:sz="4" w:space="0" w:color="auto"/>
            </w:tcBorders>
            <w:shd w:val="clear" w:color="000000" w:fill="FFFFFF"/>
            <w:vAlign w:val="center"/>
            <w:hideMark/>
          </w:tcPr>
          <w:p w14:paraId="7CE3463F" w14:textId="77777777" w:rsidR="007C032A" w:rsidRPr="007C032A" w:rsidRDefault="007C032A" w:rsidP="007C032A">
            <w:pPr>
              <w:jc w:val="right"/>
              <w:rPr>
                <w:szCs w:val="24"/>
                <w:lang w:val="en-US"/>
              </w:rPr>
            </w:pPr>
            <w:r w:rsidRPr="007C032A">
              <w:rPr>
                <w:szCs w:val="24"/>
                <w:lang w:val="en-US"/>
              </w:rPr>
              <w:t>30 315,5</w:t>
            </w:r>
          </w:p>
        </w:tc>
        <w:tc>
          <w:tcPr>
            <w:tcW w:w="1513" w:type="dxa"/>
            <w:tcBorders>
              <w:top w:val="nil"/>
              <w:left w:val="nil"/>
              <w:bottom w:val="single" w:sz="4" w:space="0" w:color="auto"/>
              <w:right w:val="single" w:sz="4" w:space="0" w:color="auto"/>
            </w:tcBorders>
            <w:shd w:val="clear" w:color="000000" w:fill="FFFFFF"/>
            <w:vAlign w:val="center"/>
            <w:hideMark/>
          </w:tcPr>
          <w:p w14:paraId="360AEC47" w14:textId="77777777" w:rsidR="007C032A" w:rsidRPr="007C032A" w:rsidRDefault="007C032A" w:rsidP="007C032A">
            <w:pPr>
              <w:jc w:val="right"/>
              <w:rPr>
                <w:szCs w:val="24"/>
                <w:lang w:val="en-US"/>
              </w:rPr>
            </w:pPr>
            <w:r w:rsidRPr="007C032A">
              <w:rPr>
                <w:szCs w:val="24"/>
                <w:lang w:val="en-US"/>
              </w:rPr>
              <w:t>104,3</w:t>
            </w:r>
          </w:p>
        </w:tc>
        <w:tc>
          <w:tcPr>
            <w:tcW w:w="1404" w:type="dxa"/>
            <w:tcBorders>
              <w:top w:val="nil"/>
              <w:left w:val="nil"/>
              <w:bottom w:val="single" w:sz="4" w:space="0" w:color="auto"/>
              <w:right w:val="single" w:sz="4" w:space="0" w:color="auto"/>
            </w:tcBorders>
            <w:shd w:val="clear" w:color="000000" w:fill="FFFFFF"/>
            <w:vAlign w:val="center"/>
            <w:hideMark/>
          </w:tcPr>
          <w:p w14:paraId="5C173057" w14:textId="77777777" w:rsidR="007C032A" w:rsidRPr="007C032A" w:rsidRDefault="007C032A" w:rsidP="007C032A">
            <w:pPr>
              <w:jc w:val="right"/>
              <w:rPr>
                <w:szCs w:val="24"/>
                <w:lang w:val="en-US"/>
              </w:rPr>
            </w:pPr>
            <w:r w:rsidRPr="007C032A">
              <w:rPr>
                <w:szCs w:val="24"/>
                <w:lang w:val="en-US"/>
              </w:rPr>
              <w:t>1 244,5</w:t>
            </w:r>
          </w:p>
        </w:tc>
      </w:tr>
      <w:tr w:rsidR="007C032A" w:rsidRPr="007C032A" w14:paraId="6B6E6F5F" w14:textId="77777777" w:rsidTr="004A306C">
        <w:trPr>
          <w:trHeight w:val="70"/>
        </w:trPr>
        <w:tc>
          <w:tcPr>
            <w:tcW w:w="3837" w:type="dxa"/>
            <w:tcBorders>
              <w:top w:val="nil"/>
              <w:left w:val="single" w:sz="4" w:space="0" w:color="auto"/>
              <w:bottom w:val="single" w:sz="4" w:space="0" w:color="auto"/>
              <w:right w:val="single" w:sz="4" w:space="0" w:color="auto"/>
            </w:tcBorders>
            <w:shd w:val="clear" w:color="000000" w:fill="FFFFFF"/>
            <w:vAlign w:val="center"/>
            <w:hideMark/>
          </w:tcPr>
          <w:p w14:paraId="09601CA1" w14:textId="77777777" w:rsidR="007C032A" w:rsidRPr="007C032A" w:rsidRDefault="007C032A" w:rsidP="007C032A">
            <w:pPr>
              <w:rPr>
                <w:szCs w:val="24"/>
              </w:rPr>
            </w:pPr>
            <w:r w:rsidRPr="007C032A">
              <w:rPr>
                <w:szCs w:val="24"/>
              </w:rPr>
              <w:t>Dotacijos</w:t>
            </w:r>
          </w:p>
        </w:tc>
        <w:tc>
          <w:tcPr>
            <w:tcW w:w="1520" w:type="dxa"/>
            <w:tcBorders>
              <w:top w:val="nil"/>
              <w:left w:val="nil"/>
              <w:bottom w:val="single" w:sz="4" w:space="0" w:color="auto"/>
              <w:right w:val="single" w:sz="4" w:space="0" w:color="auto"/>
            </w:tcBorders>
            <w:shd w:val="clear" w:color="000000" w:fill="FFFFFF"/>
            <w:vAlign w:val="center"/>
            <w:hideMark/>
          </w:tcPr>
          <w:p w14:paraId="4737129F" w14:textId="77777777" w:rsidR="007C032A" w:rsidRPr="007C032A" w:rsidRDefault="007C032A" w:rsidP="007C032A">
            <w:pPr>
              <w:jc w:val="right"/>
              <w:rPr>
                <w:szCs w:val="24"/>
                <w:lang w:val="en-US"/>
              </w:rPr>
            </w:pPr>
            <w:r w:rsidRPr="007C032A">
              <w:rPr>
                <w:szCs w:val="24"/>
                <w:lang w:val="en-US"/>
              </w:rPr>
              <w:t>18 988,5</w:t>
            </w:r>
          </w:p>
        </w:tc>
        <w:tc>
          <w:tcPr>
            <w:tcW w:w="1341" w:type="dxa"/>
            <w:tcBorders>
              <w:top w:val="nil"/>
              <w:left w:val="nil"/>
              <w:bottom w:val="single" w:sz="4" w:space="0" w:color="auto"/>
              <w:right w:val="single" w:sz="4" w:space="0" w:color="auto"/>
            </w:tcBorders>
            <w:vAlign w:val="center"/>
            <w:hideMark/>
          </w:tcPr>
          <w:p w14:paraId="26D243B4" w14:textId="77777777" w:rsidR="007C032A" w:rsidRPr="007C032A" w:rsidRDefault="007C032A" w:rsidP="007C032A">
            <w:pPr>
              <w:jc w:val="right"/>
              <w:rPr>
                <w:szCs w:val="24"/>
                <w:lang w:val="en-US"/>
              </w:rPr>
            </w:pPr>
            <w:r w:rsidRPr="007C032A">
              <w:rPr>
                <w:szCs w:val="24"/>
                <w:lang w:val="en-US"/>
              </w:rPr>
              <w:t>18 719,5</w:t>
            </w:r>
          </w:p>
        </w:tc>
        <w:tc>
          <w:tcPr>
            <w:tcW w:w="1513" w:type="dxa"/>
            <w:tcBorders>
              <w:top w:val="nil"/>
              <w:left w:val="nil"/>
              <w:bottom w:val="single" w:sz="4" w:space="0" w:color="auto"/>
              <w:right w:val="single" w:sz="4" w:space="0" w:color="auto"/>
            </w:tcBorders>
            <w:shd w:val="clear" w:color="000000" w:fill="FFFFFF"/>
            <w:vAlign w:val="center"/>
            <w:hideMark/>
          </w:tcPr>
          <w:p w14:paraId="6B7C1BC4" w14:textId="77777777" w:rsidR="007C032A" w:rsidRPr="007C032A" w:rsidRDefault="007C032A" w:rsidP="007C032A">
            <w:pPr>
              <w:jc w:val="right"/>
              <w:rPr>
                <w:szCs w:val="24"/>
                <w:lang w:val="en-US"/>
              </w:rPr>
            </w:pPr>
            <w:r w:rsidRPr="007C032A">
              <w:rPr>
                <w:szCs w:val="24"/>
                <w:lang w:val="en-US"/>
              </w:rPr>
              <w:t>98,6</w:t>
            </w:r>
          </w:p>
        </w:tc>
        <w:tc>
          <w:tcPr>
            <w:tcW w:w="1404" w:type="dxa"/>
            <w:tcBorders>
              <w:top w:val="nil"/>
              <w:left w:val="nil"/>
              <w:bottom w:val="single" w:sz="4" w:space="0" w:color="auto"/>
              <w:right w:val="single" w:sz="4" w:space="0" w:color="auto"/>
            </w:tcBorders>
            <w:shd w:val="clear" w:color="000000" w:fill="FFFFFF"/>
            <w:vAlign w:val="center"/>
            <w:hideMark/>
          </w:tcPr>
          <w:p w14:paraId="13422412" w14:textId="77777777" w:rsidR="007C032A" w:rsidRPr="007C032A" w:rsidRDefault="007C032A" w:rsidP="007C032A">
            <w:pPr>
              <w:jc w:val="right"/>
              <w:rPr>
                <w:szCs w:val="24"/>
                <w:lang w:val="en-US"/>
              </w:rPr>
            </w:pPr>
            <w:r w:rsidRPr="007C032A">
              <w:rPr>
                <w:szCs w:val="24"/>
                <w:lang w:val="en-US"/>
              </w:rPr>
              <w:t>-269,0</w:t>
            </w:r>
          </w:p>
        </w:tc>
      </w:tr>
      <w:tr w:rsidR="007C032A" w:rsidRPr="007C032A" w14:paraId="3B519CB4" w14:textId="77777777" w:rsidTr="004A306C">
        <w:trPr>
          <w:trHeight w:val="70"/>
        </w:trPr>
        <w:tc>
          <w:tcPr>
            <w:tcW w:w="3837" w:type="dxa"/>
            <w:tcBorders>
              <w:top w:val="nil"/>
              <w:left w:val="single" w:sz="4" w:space="0" w:color="auto"/>
              <w:bottom w:val="single" w:sz="4" w:space="0" w:color="auto"/>
              <w:right w:val="single" w:sz="4" w:space="0" w:color="auto"/>
            </w:tcBorders>
            <w:shd w:val="clear" w:color="000000" w:fill="FFFFFF"/>
            <w:vAlign w:val="center"/>
            <w:hideMark/>
          </w:tcPr>
          <w:p w14:paraId="06B38F7E" w14:textId="77777777" w:rsidR="007C032A" w:rsidRPr="007C032A" w:rsidRDefault="007C032A" w:rsidP="007C032A">
            <w:pPr>
              <w:rPr>
                <w:szCs w:val="24"/>
              </w:rPr>
            </w:pPr>
            <w:r w:rsidRPr="007C032A">
              <w:rPr>
                <w:szCs w:val="24"/>
              </w:rPr>
              <w:t>Kitos pajamos</w:t>
            </w:r>
          </w:p>
        </w:tc>
        <w:tc>
          <w:tcPr>
            <w:tcW w:w="1520" w:type="dxa"/>
            <w:tcBorders>
              <w:top w:val="nil"/>
              <w:left w:val="nil"/>
              <w:bottom w:val="single" w:sz="4" w:space="0" w:color="auto"/>
              <w:right w:val="single" w:sz="4" w:space="0" w:color="auto"/>
            </w:tcBorders>
            <w:shd w:val="clear" w:color="000000" w:fill="FFFFFF"/>
            <w:vAlign w:val="center"/>
            <w:hideMark/>
          </w:tcPr>
          <w:p w14:paraId="3194918B" w14:textId="77777777" w:rsidR="007C032A" w:rsidRPr="007C032A" w:rsidRDefault="007C032A" w:rsidP="007C032A">
            <w:pPr>
              <w:jc w:val="right"/>
              <w:rPr>
                <w:szCs w:val="24"/>
                <w:lang w:val="en-US"/>
              </w:rPr>
            </w:pPr>
            <w:r w:rsidRPr="007C032A">
              <w:rPr>
                <w:szCs w:val="24"/>
                <w:lang w:val="en-US"/>
              </w:rPr>
              <w:t>3 419,2</w:t>
            </w:r>
          </w:p>
        </w:tc>
        <w:tc>
          <w:tcPr>
            <w:tcW w:w="1341" w:type="dxa"/>
            <w:tcBorders>
              <w:top w:val="nil"/>
              <w:left w:val="nil"/>
              <w:bottom w:val="single" w:sz="4" w:space="0" w:color="auto"/>
              <w:right w:val="single" w:sz="4" w:space="0" w:color="auto"/>
            </w:tcBorders>
            <w:vAlign w:val="center"/>
            <w:hideMark/>
          </w:tcPr>
          <w:p w14:paraId="2BA040E3" w14:textId="77777777" w:rsidR="007C032A" w:rsidRPr="007C032A" w:rsidRDefault="007C032A" w:rsidP="007C032A">
            <w:pPr>
              <w:jc w:val="right"/>
              <w:rPr>
                <w:szCs w:val="24"/>
                <w:lang w:val="en-US"/>
              </w:rPr>
            </w:pPr>
            <w:r w:rsidRPr="007C032A">
              <w:rPr>
                <w:szCs w:val="24"/>
                <w:lang w:val="en-US"/>
              </w:rPr>
              <w:t>3 805,6</w:t>
            </w:r>
          </w:p>
        </w:tc>
        <w:tc>
          <w:tcPr>
            <w:tcW w:w="1513" w:type="dxa"/>
            <w:tcBorders>
              <w:top w:val="nil"/>
              <w:left w:val="nil"/>
              <w:bottom w:val="single" w:sz="4" w:space="0" w:color="auto"/>
              <w:right w:val="single" w:sz="4" w:space="0" w:color="auto"/>
            </w:tcBorders>
            <w:shd w:val="clear" w:color="000000" w:fill="FFFFFF"/>
            <w:vAlign w:val="center"/>
            <w:hideMark/>
          </w:tcPr>
          <w:p w14:paraId="3DE61191" w14:textId="77777777" w:rsidR="007C032A" w:rsidRPr="007C032A" w:rsidRDefault="007C032A" w:rsidP="007C032A">
            <w:pPr>
              <w:jc w:val="right"/>
              <w:rPr>
                <w:szCs w:val="24"/>
                <w:lang w:val="en-US"/>
              </w:rPr>
            </w:pPr>
            <w:r w:rsidRPr="007C032A">
              <w:rPr>
                <w:szCs w:val="24"/>
                <w:lang w:val="en-US"/>
              </w:rPr>
              <w:t>111,3</w:t>
            </w:r>
          </w:p>
        </w:tc>
        <w:tc>
          <w:tcPr>
            <w:tcW w:w="1404" w:type="dxa"/>
            <w:tcBorders>
              <w:top w:val="nil"/>
              <w:left w:val="nil"/>
              <w:bottom w:val="single" w:sz="4" w:space="0" w:color="auto"/>
              <w:right w:val="single" w:sz="4" w:space="0" w:color="auto"/>
            </w:tcBorders>
            <w:shd w:val="clear" w:color="000000" w:fill="FFFFFF"/>
            <w:vAlign w:val="center"/>
            <w:hideMark/>
          </w:tcPr>
          <w:p w14:paraId="3E3CBDFE" w14:textId="77777777" w:rsidR="007C032A" w:rsidRPr="007C032A" w:rsidRDefault="007C032A" w:rsidP="007C032A">
            <w:pPr>
              <w:jc w:val="right"/>
              <w:rPr>
                <w:szCs w:val="24"/>
                <w:lang w:val="en-US"/>
              </w:rPr>
            </w:pPr>
            <w:r w:rsidRPr="007C032A">
              <w:rPr>
                <w:szCs w:val="24"/>
                <w:lang w:val="en-US"/>
              </w:rPr>
              <w:t>386,4</w:t>
            </w:r>
          </w:p>
        </w:tc>
      </w:tr>
      <w:tr w:rsidR="007C032A" w:rsidRPr="007C032A" w14:paraId="52C5E9B8" w14:textId="77777777" w:rsidTr="004A306C">
        <w:trPr>
          <w:trHeight w:val="70"/>
        </w:trPr>
        <w:tc>
          <w:tcPr>
            <w:tcW w:w="3837" w:type="dxa"/>
            <w:tcBorders>
              <w:top w:val="nil"/>
              <w:left w:val="single" w:sz="4" w:space="0" w:color="auto"/>
              <w:bottom w:val="single" w:sz="4" w:space="0" w:color="auto"/>
              <w:right w:val="single" w:sz="4" w:space="0" w:color="auto"/>
            </w:tcBorders>
            <w:shd w:val="clear" w:color="000000" w:fill="FFFFFF"/>
            <w:vAlign w:val="center"/>
            <w:hideMark/>
          </w:tcPr>
          <w:p w14:paraId="44F580A7" w14:textId="77777777" w:rsidR="007C032A" w:rsidRPr="007C032A" w:rsidRDefault="007C032A" w:rsidP="007C032A">
            <w:pPr>
              <w:rPr>
                <w:szCs w:val="24"/>
              </w:rPr>
            </w:pPr>
            <w:r w:rsidRPr="007C032A">
              <w:rPr>
                <w:szCs w:val="24"/>
              </w:rPr>
              <w:t>Materialiojo ir nematerialiojo turto realizavimo pajamos</w:t>
            </w:r>
          </w:p>
        </w:tc>
        <w:tc>
          <w:tcPr>
            <w:tcW w:w="1520" w:type="dxa"/>
            <w:tcBorders>
              <w:top w:val="nil"/>
              <w:left w:val="nil"/>
              <w:bottom w:val="single" w:sz="4" w:space="0" w:color="auto"/>
              <w:right w:val="single" w:sz="4" w:space="0" w:color="auto"/>
            </w:tcBorders>
            <w:shd w:val="clear" w:color="000000" w:fill="FFFFFF"/>
            <w:vAlign w:val="center"/>
            <w:hideMark/>
          </w:tcPr>
          <w:p w14:paraId="195569A7" w14:textId="77777777" w:rsidR="007C032A" w:rsidRPr="007C032A" w:rsidRDefault="007C032A" w:rsidP="007C032A">
            <w:pPr>
              <w:jc w:val="right"/>
              <w:rPr>
                <w:szCs w:val="24"/>
                <w:lang w:val="en-US"/>
              </w:rPr>
            </w:pPr>
            <w:r w:rsidRPr="007C032A">
              <w:rPr>
                <w:szCs w:val="24"/>
                <w:lang w:val="en-US"/>
              </w:rPr>
              <w:t>61,0</w:t>
            </w:r>
          </w:p>
        </w:tc>
        <w:tc>
          <w:tcPr>
            <w:tcW w:w="1341" w:type="dxa"/>
            <w:tcBorders>
              <w:top w:val="nil"/>
              <w:left w:val="nil"/>
              <w:bottom w:val="single" w:sz="4" w:space="0" w:color="auto"/>
              <w:right w:val="single" w:sz="4" w:space="0" w:color="auto"/>
            </w:tcBorders>
            <w:shd w:val="clear" w:color="000000" w:fill="FFFFFF"/>
            <w:vAlign w:val="center"/>
            <w:hideMark/>
          </w:tcPr>
          <w:p w14:paraId="7CC2DD1E" w14:textId="77777777" w:rsidR="007C032A" w:rsidRPr="007C032A" w:rsidRDefault="007C032A" w:rsidP="007C032A">
            <w:pPr>
              <w:jc w:val="right"/>
              <w:rPr>
                <w:szCs w:val="24"/>
                <w:lang w:val="en-US"/>
              </w:rPr>
            </w:pPr>
            <w:r w:rsidRPr="007C032A">
              <w:rPr>
                <w:szCs w:val="24"/>
                <w:lang w:val="en-US"/>
              </w:rPr>
              <w:t>161,4</w:t>
            </w:r>
          </w:p>
        </w:tc>
        <w:tc>
          <w:tcPr>
            <w:tcW w:w="1513" w:type="dxa"/>
            <w:tcBorders>
              <w:top w:val="nil"/>
              <w:left w:val="nil"/>
              <w:bottom w:val="single" w:sz="4" w:space="0" w:color="auto"/>
              <w:right w:val="single" w:sz="4" w:space="0" w:color="auto"/>
            </w:tcBorders>
            <w:shd w:val="clear" w:color="000000" w:fill="FFFFFF"/>
            <w:vAlign w:val="center"/>
            <w:hideMark/>
          </w:tcPr>
          <w:p w14:paraId="5AA9C39B" w14:textId="77777777" w:rsidR="007C032A" w:rsidRPr="007C032A" w:rsidRDefault="007C032A" w:rsidP="007C032A">
            <w:pPr>
              <w:jc w:val="right"/>
              <w:rPr>
                <w:szCs w:val="24"/>
                <w:lang w:val="en-US"/>
              </w:rPr>
            </w:pPr>
            <w:r w:rsidRPr="007C032A">
              <w:rPr>
                <w:szCs w:val="24"/>
                <w:lang w:val="en-US"/>
              </w:rPr>
              <w:t>264,6</w:t>
            </w:r>
          </w:p>
        </w:tc>
        <w:tc>
          <w:tcPr>
            <w:tcW w:w="1404" w:type="dxa"/>
            <w:tcBorders>
              <w:top w:val="nil"/>
              <w:left w:val="nil"/>
              <w:bottom w:val="single" w:sz="4" w:space="0" w:color="auto"/>
              <w:right w:val="single" w:sz="4" w:space="0" w:color="auto"/>
            </w:tcBorders>
            <w:shd w:val="clear" w:color="000000" w:fill="FFFFFF"/>
            <w:vAlign w:val="center"/>
            <w:hideMark/>
          </w:tcPr>
          <w:p w14:paraId="3DC1E6F4" w14:textId="77777777" w:rsidR="007C032A" w:rsidRPr="007C032A" w:rsidRDefault="007C032A" w:rsidP="007C032A">
            <w:pPr>
              <w:jc w:val="right"/>
              <w:rPr>
                <w:szCs w:val="24"/>
                <w:lang w:val="en-US"/>
              </w:rPr>
            </w:pPr>
            <w:r w:rsidRPr="007C032A">
              <w:rPr>
                <w:szCs w:val="24"/>
                <w:lang w:val="en-US"/>
              </w:rPr>
              <w:t>100,4</w:t>
            </w:r>
          </w:p>
        </w:tc>
      </w:tr>
      <w:tr w:rsidR="007C032A" w:rsidRPr="007C032A" w14:paraId="7FFB5DD3" w14:textId="77777777" w:rsidTr="004A306C">
        <w:trPr>
          <w:trHeight w:val="70"/>
        </w:trPr>
        <w:tc>
          <w:tcPr>
            <w:tcW w:w="3837" w:type="dxa"/>
            <w:tcBorders>
              <w:top w:val="nil"/>
              <w:left w:val="single" w:sz="4" w:space="0" w:color="auto"/>
              <w:bottom w:val="single" w:sz="4" w:space="0" w:color="auto"/>
              <w:right w:val="single" w:sz="4" w:space="0" w:color="auto"/>
            </w:tcBorders>
            <w:vAlign w:val="center"/>
            <w:hideMark/>
          </w:tcPr>
          <w:p w14:paraId="0DA411D6" w14:textId="77777777" w:rsidR="007C032A" w:rsidRPr="007C032A" w:rsidRDefault="007C032A" w:rsidP="007C032A">
            <w:pPr>
              <w:jc w:val="right"/>
              <w:rPr>
                <w:b/>
                <w:bCs/>
                <w:szCs w:val="24"/>
              </w:rPr>
            </w:pPr>
            <w:r w:rsidRPr="007C032A">
              <w:rPr>
                <w:b/>
                <w:bCs/>
                <w:szCs w:val="24"/>
              </w:rPr>
              <w:t>Iš viso:</w:t>
            </w:r>
          </w:p>
        </w:tc>
        <w:tc>
          <w:tcPr>
            <w:tcW w:w="1520" w:type="dxa"/>
            <w:tcBorders>
              <w:top w:val="nil"/>
              <w:left w:val="nil"/>
              <w:bottom w:val="single" w:sz="4" w:space="0" w:color="auto"/>
              <w:right w:val="single" w:sz="4" w:space="0" w:color="auto"/>
            </w:tcBorders>
            <w:shd w:val="clear" w:color="auto" w:fill="C6D9F1" w:themeFill="text2" w:themeFillTint="33"/>
            <w:vAlign w:val="center"/>
            <w:hideMark/>
          </w:tcPr>
          <w:p w14:paraId="6A4CF7FC" w14:textId="77777777" w:rsidR="007C032A" w:rsidRPr="007C032A" w:rsidRDefault="007C032A" w:rsidP="007C032A">
            <w:pPr>
              <w:jc w:val="right"/>
              <w:rPr>
                <w:b/>
                <w:bCs/>
                <w:szCs w:val="24"/>
                <w:lang w:val="en-US"/>
              </w:rPr>
            </w:pPr>
            <w:r w:rsidRPr="007C032A">
              <w:rPr>
                <w:b/>
                <w:bCs/>
                <w:szCs w:val="24"/>
                <w:lang w:val="en-US"/>
              </w:rPr>
              <w:t>51 539,7</w:t>
            </w:r>
          </w:p>
        </w:tc>
        <w:tc>
          <w:tcPr>
            <w:tcW w:w="1341" w:type="dxa"/>
            <w:tcBorders>
              <w:top w:val="nil"/>
              <w:left w:val="nil"/>
              <w:bottom w:val="single" w:sz="4" w:space="0" w:color="auto"/>
              <w:right w:val="single" w:sz="4" w:space="0" w:color="auto"/>
            </w:tcBorders>
            <w:shd w:val="clear" w:color="auto" w:fill="C6D9F1" w:themeFill="text2" w:themeFillTint="33"/>
            <w:vAlign w:val="center"/>
            <w:hideMark/>
          </w:tcPr>
          <w:p w14:paraId="25D2760F" w14:textId="77777777" w:rsidR="007C032A" w:rsidRPr="007C032A" w:rsidRDefault="007C032A" w:rsidP="007C032A">
            <w:pPr>
              <w:jc w:val="right"/>
              <w:rPr>
                <w:b/>
                <w:bCs/>
                <w:szCs w:val="24"/>
                <w:lang w:val="en-US"/>
              </w:rPr>
            </w:pPr>
            <w:r w:rsidRPr="007C032A">
              <w:rPr>
                <w:b/>
                <w:bCs/>
                <w:szCs w:val="24"/>
                <w:lang w:val="en-US"/>
              </w:rPr>
              <w:t>53 002,0</w:t>
            </w:r>
          </w:p>
        </w:tc>
        <w:tc>
          <w:tcPr>
            <w:tcW w:w="1513" w:type="dxa"/>
            <w:tcBorders>
              <w:top w:val="nil"/>
              <w:left w:val="nil"/>
              <w:bottom w:val="single" w:sz="4" w:space="0" w:color="auto"/>
              <w:right w:val="single" w:sz="4" w:space="0" w:color="auto"/>
            </w:tcBorders>
            <w:shd w:val="clear" w:color="auto" w:fill="C6D9F1" w:themeFill="text2" w:themeFillTint="33"/>
            <w:vAlign w:val="center"/>
            <w:hideMark/>
          </w:tcPr>
          <w:p w14:paraId="1607EC6D" w14:textId="77777777" w:rsidR="007C032A" w:rsidRPr="007C032A" w:rsidRDefault="007C032A" w:rsidP="007C032A">
            <w:pPr>
              <w:jc w:val="right"/>
              <w:rPr>
                <w:b/>
                <w:bCs/>
                <w:szCs w:val="24"/>
                <w:lang w:val="en-US"/>
              </w:rPr>
            </w:pPr>
            <w:r w:rsidRPr="007C032A">
              <w:rPr>
                <w:b/>
                <w:bCs/>
                <w:szCs w:val="24"/>
                <w:lang w:val="en-US"/>
              </w:rPr>
              <w:t>102,8</w:t>
            </w:r>
          </w:p>
        </w:tc>
        <w:tc>
          <w:tcPr>
            <w:tcW w:w="1404" w:type="dxa"/>
            <w:tcBorders>
              <w:top w:val="nil"/>
              <w:left w:val="nil"/>
              <w:bottom w:val="single" w:sz="4" w:space="0" w:color="auto"/>
              <w:right w:val="single" w:sz="4" w:space="0" w:color="auto"/>
            </w:tcBorders>
            <w:shd w:val="clear" w:color="auto" w:fill="C6D9F1" w:themeFill="text2" w:themeFillTint="33"/>
            <w:vAlign w:val="center"/>
            <w:hideMark/>
          </w:tcPr>
          <w:p w14:paraId="4905D64F" w14:textId="77777777" w:rsidR="007C032A" w:rsidRPr="007C032A" w:rsidRDefault="007C032A" w:rsidP="007C032A">
            <w:pPr>
              <w:jc w:val="right"/>
              <w:rPr>
                <w:b/>
                <w:bCs/>
                <w:szCs w:val="24"/>
                <w:lang w:val="en-US"/>
              </w:rPr>
            </w:pPr>
            <w:r w:rsidRPr="007C032A">
              <w:rPr>
                <w:b/>
                <w:bCs/>
                <w:szCs w:val="24"/>
                <w:lang w:val="en-US"/>
              </w:rPr>
              <w:t>1 462,3</w:t>
            </w:r>
          </w:p>
        </w:tc>
      </w:tr>
      <w:tr w:rsidR="007C032A" w:rsidRPr="007C032A" w14:paraId="3BDACAA5" w14:textId="77777777" w:rsidTr="004A306C">
        <w:trPr>
          <w:trHeight w:val="70"/>
        </w:trPr>
        <w:tc>
          <w:tcPr>
            <w:tcW w:w="3837" w:type="dxa"/>
            <w:tcBorders>
              <w:top w:val="nil"/>
              <w:left w:val="single" w:sz="4" w:space="0" w:color="auto"/>
              <w:bottom w:val="single" w:sz="4" w:space="0" w:color="auto"/>
              <w:right w:val="single" w:sz="4" w:space="0" w:color="auto"/>
            </w:tcBorders>
            <w:vAlign w:val="center"/>
            <w:hideMark/>
          </w:tcPr>
          <w:p w14:paraId="23B4BF8B" w14:textId="77777777" w:rsidR="007C032A" w:rsidRPr="007C032A" w:rsidRDefault="007C032A" w:rsidP="007C032A">
            <w:pPr>
              <w:rPr>
                <w:szCs w:val="24"/>
              </w:rPr>
            </w:pPr>
            <w:r w:rsidRPr="007C032A">
              <w:rPr>
                <w:szCs w:val="24"/>
              </w:rPr>
              <w:t>2024 m. gruodžio 31 d. nepanaudotų biudžeto lėšų likutis</w:t>
            </w:r>
          </w:p>
        </w:tc>
        <w:tc>
          <w:tcPr>
            <w:tcW w:w="1520" w:type="dxa"/>
            <w:tcBorders>
              <w:top w:val="nil"/>
              <w:left w:val="nil"/>
              <w:bottom w:val="single" w:sz="4" w:space="0" w:color="auto"/>
              <w:right w:val="single" w:sz="4" w:space="0" w:color="auto"/>
            </w:tcBorders>
            <w:vAlign w:val="center"/>
            <w:hideMark/>
          </w:tcPr>
          <w:p w14:paraId="6825068B" w14:textId="77777777" w:rsidR="007C032A" w:rsidRPr="007C032A" w:rsidRDefault="007C032A" w:rsidP="007C032A">
            <w:pPr>
              <w:jc w:val="right"/>
              <w:rPr>
                <w:szCs w:val="24"/>
                <w:lang w:val="en-US"/>
              </w:rPr>
            </w:pPr>
            <w:r w:rsidRPr="007C032A">
              <w:rPr>
                <w:szCs w:val="24"/>
                <w:lang w:val="en-US"/>
              </w:rPr>
              <w:t>5 401,4</w:t>
            </w:r>
          </w:p>
        </w:tc>
        <w:tc>
          <w:tcPr>
            <w:tcW w:w="1341" w:type="dxa"/>
            <w:tcBorders>
              <w:top w:val="nil"/>
              <w:left w:val="nil"/>
              <w:bottom w:val="single" w:sz="4" w:space="0" w:color="auto"/>
              <w:right w:val="single" w:sz="4" w:space="0" w:color="auto"/>
            </w:tcBorders>
            <w:vAlign w:val="center"/>
            <w:hideMark/>
          </w:tcPr>
          <w:p w14:paraId="6F78F489" w14:textId="77777777" w:rsidR="007C032A" w:rsidRPr="007C032A" w:rsidRDefault="007C032A" w:rsidP="007C032A">
            <w:pPr>
              <w:jc w:val="right"/>
              <w:rPr>
                <w:szCs w:val="24"/>
                <w:lang w:val="en-US"/>
              </w:rPr>
            </w:pPr>
            <w:r w:rsidRPr="007C032A">
              <w:rPr>
                <w:szCs w:val="24"/>
                <w:lang w:val="en-US"/>
              </w:rPr>
              <w:t> </w:t>
            </w:r>
          </w:p>
        </w:tc>
        <w:tc>
          <w:tcPr>
            <w:tcW w:w="1513" w:type="dxa"/>
            <w:tcBorders>
              <w:top w:val="nil"/>
              <w:left w:val="nil"/>
              <w:bottom w:val="single" w:sz="4" w:space="0" w:color="auto"/>
              <w:right w:val="single" w:sz="4" w:space="0" w:color="auto"/>
            </w:tcBorders>
            <w:vAlign w:val="center"/>
            <w:hideMark/>
          </w:tcPr>
          <w:p w14:paraId="0E4A1725" w14:textId="77777777" w:rsidR="007C032A" w:rsidRPr="007C032A" w:rsidRDefault="007C032A" w:rsidP="007C032A">
            <w:pPr>
              <w:jc w:val="right"/>
              <w:rPr>
                <w:szCs w:val="24"/>
                <w:lang w:val="en-US"/>
              </w:rPr>
            </w:pPr>
            <w:r w:rsidRPr="007C032A">
              <w:rPr>
                <w:szCs w:val="24"/>
                <w:lang w:val="en-US"/>
              </w:rPr>
              <w:t> </w:t>
            </w:r>
          </w:p>
        </w:tc>
        <w:tc>
          <w:tcPr>
            <w:tcW w:w="1404" w:type="dxa"/>
            <w:tcBorders>
              <w:top w:val="nil"/>
              <w:left w:val="nil"/>
              <w:bottom w:val="single" w:sz="4" w:space="0" w:color="auto"/>
              <w:right w:val="single" w:sz="4" w:space="0" w:color="auto"/>
            </w:tcBorders>
            <w:vAlign w:val="center"/>
            <w:hideMark/>
          </w:tcPr>
          <w:p w14:paraId="4B66A528" w14:textId="77777777" w:rsidR="007C032A" w:rsidRPr="007C032A" w:rsidRDefault="007C032A" w:rsidP="007C032A">
            <w:pPr>
              <w:jc w:val="right"/>
              <w:rPr>
                <w:szCs w:val="24"/>
                <w:lang w:val="en-US"/>
              </w:rPr>
            </w:pPr>
            <w:r w:rsidRPr="007C032A">
              <w:rPr>
                <w:szCs w:val="24"/>
                <w:lang w:val="en-US"/>
              </w:rPr>
              <w:t> </w:t>
            </w:r>
          </w:p>
        </w:tc>
      </w:tr>
    </w:tbl>
    <w:p w14:paraId="0BEE94E9" w14:textId="77777777" w:rsidR="004A306C" w:rsidRDefault="004A306C" w:rsidP="004A306C">
      <w:pPr>
        <w:spacing w:line="360" w:lineRule="auto"/>
        <w:jc w:val="center"/>
        <w:rPr>
          <w:szCs w:val="24"/>
          <w:lang w:val="en-US"/>
        </w:rPr>
      </w:pPr>
    </w:p>
    <w:p w14:paraId="348B697A" w14:textId="32C555BD" w:rsidR="007C032A" w:rsidRPr="007C032A" w:rsidRDefault="00675EDC" w:rsidP="00685282">
      <w:pPr>
        <w:jc w:val="center"/>
        <w:rPr>
          <w:szCs w:val="24"/>
          <w:lang w:val="en-US"/>
        </w:rPr>
      </w:pPr>
      <w:r>
        <w:rPr>
          <w:noProof/>
          <w:szCs w:val="24"/>
          <w:lang w:val="en-US"/>
        </w:rPr>
        <w:drawing>
          <wp:inline distT="0" distB="0" distL="0" distR="0" wp14:anchorId="717B06B7" wp14:editId="6FAC593A">
            <wp:extent cx="4610100" cy="3080756"/>
            <wp:effectExtent l="0" t="0" r="0" b="5715"/>
            <wp:docPr id="197327582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3080756"/>
                    </a:xfrm>
                    <a:prstGeom prst="rect">
                      <a:avLst/>
                    </a:prstGeom>
                    <a:noFill/>
                  </pic:spPr>
                </pic:pic>
              </a:graphicData>
            </a:graphic>
          </wp:inline>
        </w:drawing>
      </w:r>
    </w:p>
    <w:p w14:paraId="20B91191" w14:textId="24F5B329" w:rsidR="00685282" w:rsidRDefault="00685282" w:rsidP="00685282">
      <w:pPr>
        <w:spacing w:line="360" w:lineRule="auto"/>
        <w:jc w:val="center"/>
        <w:rPr>
          <w:bCs/>
          <w:i/>
          <w:iCs/>
          <w:sz w:val="22"/>
          <w:szCs w:val="22"/>
        </w:rPr>
      </w:pPr>
      <w:r w:rsidRPr="00580643">
        <w:rPr>
          <w:bCs/>
          <w:i/>
          <w:iCs/>
          <w:sz w:val="22"/>
          <w:szCs w:val="22"/>
        </w:rPr>
        <w:t>202</w:t>
      </w:r>
      <w:r>
        <w:rPr>
          <w:bCs/>
          <w:i/>
          <w:iCs/>
          <w:sz w:val="22"/>
          <w:szCs w:val="22"/>
        </w:rPr>
        <w:t xml:space="preserve">5 </w:t>
      </w:r>
      <w:r w:rsidRPr="00580643">
        <w:rPr>
          <w:bCs/>
          <w:i/>
          <w:iCs/>
          <w:sz w:val="22"/>
          <w:szCs w:val="22"/>
        </w:rPr>
        <w:t>metais gautų biudžeto pajamų struktūra, proc.</w:t>
      </w:r>
    </w:p>
    <w:p w14:paraId="6E62486E" w14:textId="77777777" w:rsidR="00685282" w:rsidRPr="004A306C" w:rsidRDefault="00685282" w:rsidP="00685282">
      <w:pPr>
        <w:spacing w:line="360" w:lineRule="auto"/>
        <w:jc w:val="center"/>
        <w:rPr>
          <w:bCs/>
          <w:sz w:val="22"/>
          <w:szCs w:val="22"/>
        </w:rPr>
      </w:pPr>
    </w:p>
    <w:p w14:paraId="6C24654A" w14:textId="77777777" w:rsidR="00685282" w:rsidRPr="00095E2C" w:rsidRDefault="00685282" w:rsidP="00685282">
      <w:pPr>
        <w:spacing w:line="360" w:lineRule="auto"/>
        <w:ind w:firstLine="709"/>
        <w:jc w:val="both"/>
        <w:rPr>
          <w:b/>
          <w:u w:val="single"/>
        </w:rPr>
      </w:pPr>
      <w:r w:rsidRPr="00095E2C">
        <w:rPr>
          <w:b/>
          <w:u w:val="single"/>
        </w:rPr>
        <w:lastRenderedPageBreak/>
        <w:t>Mokesčiai</w:t>
      </w:r>
    </w:p>
    <w:p w14:paraId="4B4EAD7C" w14:textId="3E54EE65" w:rsidR="00685282" w:rsidRPr="002B789A" w:rsidRDefault="00685282" w:rsidP="00685282">
      <w:pPr>
        <w:spacing w:line="360" w:lineRule="auto"/>
        <w:ind w:firstLine="709"/>
        <w:jc w:val="both"/>
        <w:rPr>
          <w:shd w:val="clear" w:color="auto" w:fill="FFFFFF"/>
        </w:rPr>
      </w:pPr>
      <w:r w:rsidRPr="00095E2C">
        <w:t xml:space="preserve">Bendroje </w:t>
      </w:r>
      <w:r w:rsidR="004A306C" w:rsidRPr="00095E2C">
        <w:t>202</w:t>
      </w:r>
      <w:r w:rsidR="004A306C">
        <w:t>5</w:t>
      </w:r>
      <w:r w:rsidR="004A306C" w:rsidRPr="00095E2C">
        <w:t xml:space="preserve"> metų </w:t>
      </w:r>
      <w:r w:rsidRPr="00095E2C">
        <w:t xml:space="preserve">Savivaldybės biudžeto gautų pajamų struktūroje didžiausią dalį sudarė iš mokesčių gautos pajamos – </w:t>
      </w:r>
      <w:r>
        <w:t>57,2</w:t>
      </w:r>
      <w:r w:rsidRPr="00095E2C">
        <w:t xml:space="preserve"> proc. ir dotacijos – </w:t>
      </w:r>
      <w:r>
        <w:t>35,3</w:t>
      </w:r>
      <w:r w:rsidRPr="002B789A">
        <w:t xml:space="preserve"> proc. Planuojamas pajamų iš mokesčių 202</w:t>
      </w:r>
      <w:r>
        <w:t>5</w:t>
      </w:r>
      <w:r w:rsidRPr="002B789A">
        <w:t xml:space="preserve"> metų planas be valstybinių ir vietinių rinkliavų sudarė </w:t>
      </w:r>
      <w:r>
        <w:t>29 071,0</w:t>
      </w:r>
      <w:r w:rsidRPr="002B789A">
        <w:t xml:space="preserve"> tūkst. Eur, faktiškai surinkta pajamų suma – </w:t>
      </w:r>
      <w:r w:rsidR="000F4559">
        <w:t>30 315,5</w:t>
      </w:r>
      <w:r w:rsidRPr="002B789A">
        <w:t xml:space="preserve"> tūkst. Eur. Planas įvykdytas </w:t>
      </w:r>
      <w:r w:rsidR="000F4559">
        <w:t>104,3</w:t>
      </w:r>
      <w:r w:rsidRPr="002B789A">
        <w:t xml:space="preserve"> proc., gauta </w:t>
      </w:r>
      <w:r w:rsidR="000F4559">
        <w:t>1 244,5</w:t>
      </w:r>
      <w:r w:rsidRPr="002B789A">
        <w:t xml:space="preserve"> tūkst. Eur daugiau, </w:t>
      </w:r>
      <w:r w:rsidRPr="002B789A">
        <w:rPr>
          <w:shd w:val="clear" w:color="auto" w:fill="FFFFFF"/>
        </w:rPr>
        <w:t>negu buvo planuota.</w:t>
      </w:r>
    </w:p>
    <w:p w14:paraId="24625394" w14:textId="307DEDD2" w:rsidR="00685282" w:rsidRPr="00E74AA0" w:rsidRDefault="00685282" w:rsidP="00685282">
      <w:pPr>
        <w:spacing w:line="360" w:lineRule="auto"/>
        <w:ind w:firstLine="709"/>
        <w:jc w:val="both"/>
      </w:pPr>
      <w:r w:rsidRPr="00E74AA0">
        <w:t>Savivaldybės mokesčiai surenkami iš gyventojų pajamų mokesčio, žemės mokesčio, paveldimo turto mokesčio, nekilnojamo</w:t>
      </w:r>
      <w:r w:rsidR="00233592">
        <w:t>jo</w:t>
      </w:r>
      <w:r w:rsidRPr="00E74AA0">
        <w:t xml:space="preserve"> turto mokesčio, </w:t>
      </w:r>
      <w:bookmarkStart w:id="0" w:name="_Hlk188955622"/>
      <w:r>
        <w:t>p</w:t>
      </w:r>
      <w:r w:rsidRPr="003E0D9C">
        <w:t>rivalom</w:t>
      </w:r>
      <w:r>
        <w:t>ųjų</w:t>
      </w:r>
      <w:r w:rsidRPr="003E0D9C">
        <w:t xml:space="preserve"> atskaitym</w:t>
      </w:r>
      <w:r>
        <w:t>ų</w:t>
      </w:r>
      <w:r w:rsidRPr="003E0D9C">
        <w:t xml:space="preserve"> iš pajamų už parduotą žaliavinę medieną ir nenukirstą mišką pagal Lietuvos Respublikos miškų įstatym</w:t>
      </w:r>
      <w:r>
        <w:t>ą</w:t>
      </w:r>
      <w:bookmarkEnd w:id="0"/>
      <w:r>
        <w:t xml:space="preserve">, </w:t>
      </w:r>
      <w:r w:rsidRPr="00E74AA0">
        <w:t>mokesčio už aplinkos teršimą, valstybės ir vietinių rinkliavų.</w:t>
      </w:r>
    </w:p>
    <w:p w14:paraId="6B2D0CF6" w14:textId="1D83B0ED" w:rsidR="00685282" w:rsidRPr="00E74AA0" w:rsidRDefault="00685282" w:rsidP="00685282">
      <w:pPr>
        <w:tabs>
          <w:tab w:val="left" w:pos="3600"/>
        </w:tabs>
        <w:spacing w:line="360" w:lineRule="auto"/>
        <w:ind w:firstLine="709"/>
        <w:jc w:val="both"/>
        <w:rPr>
          <w:b/>
        </w:rPr>
      </w:pPr>
      <w:r w:rsidRPr="00E74AA0">
        <w:t>Gyventojų pajamų mokesčio 202</w:t>
      </w:r>
      <w:r w:rsidR="000F4559">
        <w:t>5</w:t>
      </w:r>
      <w:r w:rsidRPr="00E74AA0">
        <w:t xml:space="preserve"> metų planas įvykdytas </w:t>
      </w:r>
      <w:r w:rsidR="000F4559">
        <w:t>102,7</w:t>
      </w:r>
      <w:r w:rsidRPr="00E74AA0">
        <w:t xml:space="preserve"> proc., gauta </w:t>
      </w:r>
      <w:r w:rsidR="000F4559">
        <w:t>723,6</w:t>
      </w:r>
      <w:r w:rsidRPr="00E74AA0">
        <w:t xml:space="preserve"> tūkst. Eur daugiau, negu planuota. </w:t>
      </w:r>
    </w:p>
    <w:p w14:paraId="3A571C0C" w14:textId="6A195971" w:rsidR="00685282" w:rsidRPr="00E74AA0" w:rsidRDefault="00685282" w:rsidP="00685282">
      <w:pPr>
        <w:tabs>
          <w:tab w:val="left" w:pos="851"/>
          <w:tab w:val="left" w:pos="1843"/>
        </w:tabs>
        <w:spacing w:line="360" w:lineRule="auto"/>
        <w:ind w:firstLine="709"/>
        <w:jc w:val="both"/>
      </w:pPr>
      <w:r w:rsidRPr="00E74AA0">
        <w:t xml:space="preserve">Žemės mokesčio planas viršytas 1,5 karto, gauta </w:t>
      </w:r>
      <w:r w:rsidR="000F4559">
        <w:t>100,9</w:t>
      </w:r>
      <w:r w:rsidRPr="00E74AA0">
        <w:t xml:space="preserve"> tūkst. Eur daugiau, negu buvo planuota.</w:t>
      </w:r>
    </w:p>
    <w:p w14:paraId="3ADBDABE" w14:textId="3B69AD82" w:rsidR="00685282" w:rsidRPr="00E74AA0" w:rsidRDefault="00685282" w:rsidP="00685282">
      <w:pPr>
        <w:tabs>
          <w:tab w:val="left" w:pos="851"/>
          <w:tab w:val="left" w:pos="1843"/>
        </w:tabs>
        <w:spacing w:line="360" w:lineRule="auto"/>
        <w:ind w:firstLine="709"/>
        <w:jc w:val="both"/>
      </w:pPr>
      <w:r w:rsidRPr="00E74AA0">
        <w:t xml:space="preserve">Paveldimo turto mokesčio planas </w:t>
      </w:r>
      <w:r w:rsidR="000F4559">
        <w:t>įvykdytas 101,1 proc.</w:t>
      </w:r>
      <w:r w:rsidRPr="00E74AA0">
        <w:t xml:space="preserve">, gauta </w:t>
      </w:r>
      <w:r w:rsidR="000F4559">
        <w:t>0,1</w:t>
      </w:r>
      <w:r w:rsidRPr="00E74AA0">
        <w:t xml:space="preserve"> tūkst. Eur daugiau, negu buvo planuota.</w:t>
      </w:r>
    </w:p>
    <w:p w14:paraId="1F637175" w14:textId="6989412E" w:rsidR="00685282" w:rsidRDefault="00685282" w:rsidP="00685282">
      <w:pPr>
        <w:tabs>
          <w:tab w:val="left" w:pos="851"/>
        </w:tabs>
        <w:spacing w:line="360" w:lineRule="auto"/>
        <w:ind w:firstLine="709"/>
        <w:jc w:val="both"/>
      </w:pPr>
      <w:r w:rsidRPr="00E74AA0">
        <w:t>Nekilnojamo</w:t>
      </w:r>
      <w:r w:rsidR="00233592">
        <w:t>jo</w:t>
      </w:r>
      <w:r w:rsidRPr="00E74AA0">
        <w:t xml:space="preserve"> turto mokesčio planas </w:t>
      </w:r>
      <w:r w:rsidR="000F4559">
        <w:t xml:space="preserve">viršytas daugiau negu 1,5 karto, </w:t>
      </w:r>
      <w:r w:rsidRPr="00E74AA0">
        <w:t xml:space="preserve">gauta </w:t>
      </w:r>
      <w:r w:rsidR="000F4559">
        <w:t>115,6</w:t>
      </w:r>
      <w:r w:rsidRPr="00E74AA0">
        <w:t xml:space="preserve"> tūkst. Eur daugiau, negu buvo planuota.</w:t>
      </w:r>
    </w:p>
    <w:p w14:paraId="45046574" w14:textId="184C5B6F" w:rsidR="00685282" w:rsidRPr="00E74AA0" w:rsidRDefault="00685282" w:rsidP="00685282">
      <w:pPr>
        <w:tabs>
          <w:tab w:val="left" w:pos="851"/>
        </w:tabs>
        <w:spacing w:line="360" w:lineRule="auto"/>
        <w:ind w:firstLine="709"/>
        <w:jc w:val="both"/>
      </w:pPr>
      <w:r>
        <w:t>P</w:t>
      </w:r>
      <w:r w:rsidRPr="009B7C30">
        <w:t>rivalomųjų atskaitymų iš pajamų už parduotą žaliavinę medieną ir nenukirstą mišką pagal Lietuvos Respublikos miškų įstatymą</w:t>
      </w:r>
      <w:r>
        <w:t xml:space="preserve"> planas įvykdytas </w:t>
      </w:r>
      <w:r w:rsidR="000F4559">
        <w:t>113,2</w:t>
      </w:r>
      <w:r>
        <w:t xml:space="preserve"> proc., gauta </w:t>
      </w:r>
      <w:r w:rsidR="000F4559">
        <w:t>292,3</w:t>
      </w:r>
      <w:r>
        <w:t xml:space="preserve"> tūkst. Eur daugiau.</w:t>
      </w:r>
    </w:p>
    <w:p w14:paraId="54B4E5B6" w14:textId="6A28980D" w:rsidR="00685282" w:rsidRPr="00E74AA0" w:rsidRDefault="00685282" w:rsidP="00685282">
      <w:pPr>
        <w:spacing w:line="360" w:lineRule="auto"/>
        <w:ind w:firstLine="709"/>
        <w:jc w:val="both"/>
      </w:pPr>
      <w:r w:rsidRPr="00E74AA0">
        <w:t xml:space="preserve">Mokesčio už aplinkos teršimą planas įvykdytas </w:t>
      </w:r>
      <w:r w:rsidR="000F4559">
        <w:t>119,7</w:t>
      </w:r>
      <w:r w:rsidRPr="00E74AA0">
        <w:t xml:space="preserve"> proc., gauta </w:t>
      </w:r>
      <w:r w:rsidR="000F4559">
        <w:t>12,0</w:t>
      </w:r>
      <w:r w:rsidRPr="00E74AA0">
        <w:t xml:space="preserve"> tūkst. Eur daugiau.</w:t>
      </w:r>
    </w:p>
    <w:p w14:paraId="3ADD5767" w14:textId="13851CC3" w:rsidR="00685282" w:rsidRPr="00E74AA0" w:rsidRDefault="00685282" w:rsidP="00685282">
      <w:pPr>
        <w:spacing w:line="360" w:lineRule="auto"/>
        <w:ind w:firstLine="709"/>
        <w:jc w:val="both"/>
      </w:pPr>
      <w:r w:rsidRPr="00E74AA0">
        <w:t>Valstybės rinkliavų 202</w:t>
      </w:r>
      <w:r w:rsidR="000F4559">
        <w:t>5</w:t>
      </w:r>
      <w:r w:rsidRPr="00E74AA0">
        <w:t xml:space="preserve"> metų planas įvykdytas </w:t>
      </w:r>
      <w:r w:rsidR="000F4559">
        <w:t>141,5</w:t>
      </w:r>
      <w:r w:rsidRPr="00E74AA0">
        <w:t xml:space="preserve"> proc., surinkta </w:t>
      </w:r>
      <w:r w:rsidR="000F4559">
        <w:t>13,7</w:t>
      </w:r>
      <w:r w:rsidRPr="00E74AA0">
        <w:t xml:space="preserve"> tūkst. Eur pajamų daugiau, negu planuota.</w:t>
      </w:r>
    </w:p>
    <w:p w14:paraId="586ECD8D" w14:textId="6988808E" w:rsidR="00685282" w:rsidRPr="00E74AA0" w:rsidRDefault="00685282" w:rsidP="00685282">
      <w:pPr>
        <w:spacing w:line="360" w:lineRule="auto"/>
        <w:ind w:firstLine="709"/>
        <w:jc w:val="both"/>
      </w:pPr>
      <w:r w:rsidRPr="00E74AA0">
        <w:t>Vietinių rinkliavų planas sudarė 1</w:t>
      </w:r>
      <w:r w:rsidR="000F4559">
        <w:t> 288,6</w:t>
      </w:r>
      <w:r w:rsidRPr="00E74AA0">
        <w:t xml:space="preserve"> tūkst. Eur, planas įvykdytas </w:t>
      </w:r>
      <w:r w:rsidR="000F4559">
        <w:t>106,7</w:t>
      </w:r>
      <w:r w:rsidRPr="00E74AA0">
        <w:t xml:space="preserve"> proc., surinkta </w:t>
      </w:r>
      <w:r w:rsidR="00C10A89">
        <w:t xml:space="preserve"> </w:t>
      </w:r>
      <w:r w:rsidR="00904900">
        <w:t>86,7</w:t>
      </w:r>
      <w:r w:rsidRPr="00E74AA0">
        <w:t xml:space="preserve"> tūkst. Eur </w:t>
      </w:r>
      <w:r w:rsidR="00904900">
        <w:t>daugiau</w:t>
      </w:r>
      <w:r w:rsidRPr="00E74AA0">
        <w:t>, negu buvo planuota.</w:t>
      </w:r>
    </w:p>
    <w:p w14:paraId="318F4759" w14:textId="77777777" w:rsidR="00685282" w:rsidRPr="00685282" w:rsidRDefault="00685282" w:rsidP="002E3D7D">
      <w:pPr>
        <w:rPr>
          <w:bCs/>
          <w:sz w:val="22"/>
          <w:szCs w:val="22"/>
        </w:rPr>
      </w:pPr>
    </w:p>
    <w:p w14:paraId="71628FA0" w14:textId="51925466" w:rsidR="00C10A89" w:rsidRDefault="00C10A89" w:rsidP="00C10A89">
      <w:pPr>
        <w:spacing w:after="120" w:line="360" w:lineRule="auto"/>
        <w:ind w:firstLine="709"/>
        <w:jc w:val="center"/>
      </w:pPr>
      <w:r w:rsidRPr="00E74AA0">
        <w:rPr>
          <w:b/>
        </w:rPr>
        <w:t>Faktiškai gauta pajamų iš mokesčių per 202</w:t>
      </w:r>
      <w:r>
        <w:rPr>
          <w:b/>
        </w:rPr>
        <w:t>5</w:t>
      </w:r>
      <w:r w:rsidRPr="00E74AA0">
        <w:rPr>
          <w:b/>
        </w:rPr>
        <w:t xml:space="preserve"> m</w:t>
      </w:r>
      <w:r w:rsidR="0086440C">
        <w:rPr>
          <w:b/>
        </w:rPr>
        <w:t>etus</w:t>
      </w:r>
    </w:p>
    <w:tbl>
      <w:tblPr>
        <w:tblW w:w="9634" w:type="dxa"/>
        <w:jc w:val="center"/>
        <w:tblLook w:val="04A0" w:firstRow="1" w:lastRow="0" w:firstColumn="1" w:lastColumn="0" w:noHBand="0" w:noVBand="1"/>
      </w:tblPr>
      <w:tblGrid>
        <w:gridCol w:w="3823"/>
        <w:gridCol w:w="1451"/>
        <w:gridCol w:w="1290"/>
        <w:gridCol w:w="1444"/>
        <w:gridCol w:w="1626"/>
      </w:tblGrid>
      <w:tr w:rsidR="00321D6D" w:rsidRPr="00233592" w14:paraId="17BBAAD7" w14:textId="77777777" w:rsidTr="00233592">
        <w:trPr>
          <w:trHeight w:val="614"/>
          <w:tblHeader/>
          <w:jc w:val="center"/>
        </w:trPr>
        <w:tc>
          <w:tcPr>
            <w:tcW w:w="382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9330EF" w14:textId="77777777" w:rsidR="00321D6D" w:rsidRPr="00233592" w:rsidRDefault="00321D6D" w:rsidP="00321D6D">
            <w:pPr>
              <w:jc w:val="center"/>
              <w:rPr>
                <w:b/>
                <w:bCs/>
                <w:szCs w:val="24"/>
              </w:rPr>
            </w:pPr>
            <w:r w:rsidRPr="00233592">
              <w:rPr>
                <w:b/>
                <w:bCs/>
                <w:szCs w:val="24"/>
              </w:rPr>
              <w:t>Pajamų rūšys</w:t>
            </w:r>
          </w:p>
        </w:tc>
        <w:tc>
          <w:tcPr>
            <w:tcW w:w="145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DC925E7" w14:textId="77777777" w:rsidR="00321D6D" w:rsidRPr="00233592" w:rsidRDefault="00321D6D" w:rsidP="00321D6D">
            <w:pPr>
              <w:jc w:val="center"/>
              <w:rPr>
                <w:b/>
                <w:bCs/>
                <w:szCs w:val="24"/>
              </w:rPr>
            </w:pPr>
            <w:r w:rsidRPr="00233592">
              <w:rPr>
                <w:b/>
                <w:bCs/>
                <w:szCs w:val="24"/>
              </w:rPr>
              <w:t>Patikslintas pajamų planas, tūkst. Eur</w:t>
            </w:r>
          </w:p>
        </w:tc>
        <w:tc>
          <w:tcPr>
            <w:tcW w:w="129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8BFEA09" w14:textId="77777777" w:rsidR="00321D6D" w:rsidRPr="00233592" w:rsidRDefault="00321D6D" w:rsidP="00321D6D">
            <w:pPr>
              <w:jc w:val="center"/>
              <w:rPr>
                <w:b/>
                <w:bCs/>
                <w:szCs w:val="24"/>
              </w:rPr>
            </w:pPr>
            <w:r w:rsidRPr="00233592">
              <w:rPr>
                <w:b/>
                <w:bCs/>
                <w:szCs w:val="24"/>
              </w:rPr>
              <w:t>Faktiškai gauta pajamų, tūkst. Eur</w:t>
            </w:r>
          </w:p>
        </w:tc>
        <w:tc>
          <w:tcPr>
            <w:tcW w:w="144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58209F3" w14:textId="77777777" w:rsidR="00321D6D" w:rsidRPr="00233592" w:rsidRDefault="00321D6D" w:rsidP="00321D6D">
            <w:pPr>
              <w:jc w:val="center"/>
              <w:rPr>
                <w:b/>
                <w:bCs/>
                <w:szCs w:val="24"/>
              </w:rPr>
            </w:pPr>
            <w:r w:rsidRPr="00233592">
              <w:rPr>
                <w:b/>
                <w:bCs/>
                <w:szCs w:val="24"/>
              </w:rPr>
              <w:t>Įvykdymas, proc.</w:t>
            </w:r>
          </w:p>
        </w:tc>
        <w:tc>
          <w:tcPr>
            <w:tcW w:w="162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8C48F56" w14:textId="77777777" w:rsidR="00321D6D" w:rsidRPr="00233592" w:rsidRDefault="00321D6D" w:rsidP="00321D6D">
            <w:pPr>
              <w:jc w:val="center"/>
              <w:rPr>
                <w:b/>
                <w:bCs/>
                <w:szCs w:val="24"/>
              </w:rPr>
            </w:pPr>
            <w:r w:rsidRPr="00233592">
              <w:rPr>
                <w:b/>
                <w:bCs/>
                <w:szCs w:val="24"/>
              </w:rPr>
              <w:t>Viršyta (+) / Negauta (-), tūkst. Eur</w:t>
            </w:r>
          </w:p>
        </w:tc>
      </w:tr>
      <w:tr w:rsidR="00321D6D" w:rsidRPr="00233592" w14:paraId="0B74BF7D" w14:textId="77777777" w:rsidTr="00233592">
        <w:trPr>
          <w:trHeight w:val="70"/>
          <w:jc w:val="center"/>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595B05B" w14:textId="77777777" w:rsidR="00321D6D" w:rsidRPr="00233592" w:rsidRDefault="00321D6D" w:rsidP="00321D6D">
            <w:pPr>
              <w:rPr>
                <w:szCs w:val="24"/>
              </w:rPr>
            </w:pPr>
            <w:r w:rsidRPr="00233592">
              <w:rPr>
                <w:szCs w:val="24"/>
              </w:rPr>
              <w:t>Gyventojų pajamų mokestis</w:t>
            </w:r>
          </w:p>
        </w:tc>
        <w:tc>
          <w:tcPr>
            <w:tcW w:w="1451" w:type="dxa"/>
            <w:tcBorders>
              <w:top w:val="nil"/>
              <w:left w:val="nil"/>
              <w:bottom w:val="single" w:sz="4" w:space="0" w:color="auto"/>
              <w:right w:val="single" w:sz="4" w:space="0" w:color="auto"/>
            </w:tcBorders>
            <w:shd w:val="clear" w:color="000000" w:fill="FFFFFF"/>
            <w:noWrap/>
            <w:vAlign w:val="center"/>
            <w:hideMark/>
          </w:tcPr>
          <w:p w14:paraId="2A9B5A04" w14:textId="77777777" w:rsidR="00321D6D" w:rsidRPr="00233592" w:rsidRDefault="00321D6D" w:rsidP="00321D6D">
            <w:pPr>
              <w:jc w:val="right"/>
              <w:rPr>
                <w:szCs w:val="24"/>
              </w:rPr>
            </w:pPr>
            <w:r w:rsidRPr="00233592">
              <w:rPr>
                <w:szCs w:val="24"/>
              </w:rPr>
              <w:t>26 394,0</w:t>
            </w:r>
          </w:p>
        </w:tc>
        <w:tc>
          <w:tcPr>
            <w:tcW w:w="1290" w:type="dxa"/>
            <w:tcBorders>
              <w:top w:val="nil"/>
              <w:left w:val="nil"/>
              <w:bottom w:val="single" w:sz="4" w:space="0" w:color="auto"/>
              <w:right w:val="single" w:sz="4" w:space="0" w:color="auto"/>
            </w:tcBorders>
            <w:shd w:val="clear" w:color="000000" w:fill="FFFFFF"/>
            <w:noWrap/>
            <w:vAlign w:val="center"/>
            <w:hideMark/>
          </w:tcPr>
          <w:p w14:paraId="24D925D2" w14:textId="77777777" w:rsidR="00321D6D" w:rsidRPr="00233592" w:rsidRDefault="00321D6D" w:rsidP="00321D6D">
            <w:pPr>
              <w:jc w:val="right"/>
              <w:rPr>
                <w:szCs w:val="24"/>
              </w:rPr>
            </w:pPr>
            <w:r w:rsidRPr="00233592">
              <w:rPr>
                <w:szCs w:val="24"/>
              </w:rPr>
              <w:t>27 117,6</w:t>
            </w:r>
          </w:p>
        </w:tc>
        <w:tc>
          <w:tcPr>
            <w:tcW w:w="1444" w:type="dxa"/>
            <w:tcBorders>
              <w:top w:val="nil"/>
              <w:left w:val="nil"/>
              <w:bottom w:val="single" w:sz="4" w:space="0" w:color="auto"/>
              <w:right w:val="single" w:sz="4" w:space="0" w:color="auto"/>
            </w:tcBorders>
            <w:shd w:val="clear" w:color="000000" w:fill="FFFFFF"/>
            <w:noWrap/>
            <w:vAlign w:val="center"/>
            <w:hideMark/>
          </w:tcPr>
          <w:p w14:paraId="398C9F03" w14:textId="77777777" w:rsidR="00321D6D" w:rsidRPr="00233592" w:rsidRDefault="00321D6D" w:rsidP="00321D6D">
            <w:pPr>
              <w:jc w:val="right"/>
              <w:rPr>
                <w:szCs w:val="24"/>
              </w:rPr>
            </w:pPr>
            <w:r w:rsidRPr="00233592">
              <w:rPr>
                <w:szCs w:val="24"/>
              </w:rPr>
              <w:t>102,7</w:t>
            </w:r>
          </w:p>
        </w:tc>
        <w:tc>
          <w:tcPr>
            <w:tcW w:w="1626" w:type="dxa"/>
            <w:tcBorders>
              <w:top w:val="nil"/>
              <w:left w:val="nil"/>
              <w:bottom w:val="single" w:sz="4" w:space="0" w:color="auto"/>
              <w:right w:val="single" w:sz="4" w:space="0" w:color="auto"/>
            </w:tcBorders>
            <w:shd w:val="clear" w:color="000000" w:fill="FFFFFF"/>
            <w:noWrap/>
            <w:vAlign w:val="center"/>
            <w:hideMark/>
          </w:tcPr>
          <w:p w14:paraId="62BD18FE" w14:textId="77777777" w:rsidR="00321D6D" w:rsidRPr="00233592" w:rsidRDefault="00321D6D" w:rsidP="00321D6D">
            <w:pPr>
              <w:jc w:val="right"/>
              <w:rPr>
                <w:szCs w:val="24"/>
              </w:rPr>
            </w:pPr>
            <w:r w:rsidRPr="00233592">
              <w:rPr>
                <w:szCs w:val="24"/>
              </w:rPr>
              <w:t>723,6</w:t>
            </w:r>
          </w:p>
        </w:tc>
      </w:tr>
      <w:tr w:rsidR="00321D6D" w:rsidRPr="00233592" w14:paraId="5AC5A9A0" w14:textId="77777777" w:rsidTr="00233592">
        <w:trPr>
          <w:trHeight w:val="70"/>
          <w:jc w:val="center"/>
        </w:trPr>
        <w:tc>
          <w:tcPr>
            <w:tcW w:w="3823" w:type="dxa"/>
            <w:tcBorders>
              <w:top w:val="nil"/>
              <w:left w:val="single" w:sz="4" w:space="0" w:color="auto"/>
              <w:bottom w:val="single" w:sz="4" w:space="0" w:color="auto"/>
              <w:right w:val="single" w:sz="4" w:space="0" w:color="auto"/>
            </w:tcBorders>
            <w:vAlign w:val="center"/>
            <w:hideMark/>
          </w:tcPr>
          <w:p w14:paraId="18E2D184" w14:textId="77777777" w:rsidR="00321D6D" w:rsidRPr="00233592" w:rsidRDefault="00321D6D" w:rsidP="00321D6D">
            <w:pPr>
              <w:rPr>
                <w:szCs w:val="24"/>
              </w:rPr>
            </w:pPr>
            <w:r w:rsidRPr="00233592">
              <w:rPr>
                <w:szCs w:val="24"/>
              </w:rPr>
              <w:t>Žemės mokestis</w:t>
            </w:r>
          </w:p>
        </w:tc>
        <w:tc>
          <w:tcPr>
            <w:tcW w:w="1451" w:type="dxa"/>
            <w:tcBorders>
              <w:top w:val="nil"/>
              <w:left w:val="nil"/>
              <w:bottom w:val="single" w:sz="4" w:space="0" w:color="auto"/>
              <w:right w:val="single" w:sz="4" w:space="0" w:color="auto"/>
            </w:tcBorders>
            <w:noWrap/>
            <w:vAlign w:val="center"/>
            <w:hideMark/>
          </w:tcPr>
          <w:p w14:paraId="508C63C8" w14:textId="77777777" w:rsidR="00321D6D" w:rsidRPr="00233592" w:rsidRDefault="00321D6D" w:rsidP="00321D6D">
            <w:pPr>
              <w:jc w:val="right"/>
              <w:rPr>
                <w:szCs w:val="24"/>
              </w:rPr>
            </w:pPr>
            <w:r w:rsidRPr="00233592">
              <w:rPr>
                <w:szCs w:val="24"/>
              </w:rPr>
              <w:t>200,0</w:t>
            </w:r>
          </w:p>
        </w:tc>
        <w:tc>
          <w:tcPr>
            <w:tcW w:w="1290" w:type="dxa"/>
            <w:tcBorders>
              <w:top w:val="nil"/>
              <w:left w:val="nil"/>
              <w:bottom w:val="single" w:sz="4" w:space="0" w:color="auto"/>
              <w:right w:val="single" w:sz="4" w:space="0" w:color="auto"/>
            </w:tcBorders>
            <w:noWrap/>
            <w:vAlign w:val="center"/>
            <w:hideMark/>
          </w:tcPr>
          <w:p w14:paraId="34DCDDA7" w14:textId="77777777" w:rsidR="00321D6D" w:rsidRPr="00233592" w:rsidRDefault="00321D6D" w:rsidP="00321D6D">
            <w:pPr>
              <w:jc w:val="right"/>
              <w:rPr>
                <w:szCs w:val="24"/>
              </w:rPr>
            </w:pPr>
            <w:r w:rsidRPr="00233592">
              <w:rPr>
                <w:szCs w:val="24"/>
              </w:rPr>
              <w:t>300,9</w:t>
            </w:r>
          </w:p>
        </w:tc>
        <w:tc>
          <w:tcPr>
            <w:tcW w:w="1444" w:type="dxa"/>
            <w:tcBorders>
              <w:top w:val="nil"/>
              <w:left w:val="nil"/>
              <w:bottom w:val="single" w:sz="4" w:space="0" w:color="auto"/>
              <w:right w:val="single" w:sz="4" w:space="0" w:color="auto"/>
            </w:tcBorders>
            <w:noWrap/>
            <w:vAlign w:val="center"/>
            <w:hideMark/>
          </w:tcPr>
          <w:p w14:paraId="18301C06" w14:textId="77777777" w:rsidR="00321D6D" w:rsidRPr="00233592" w:rsidRDefault="00321D6D" w:rsidP="00321D6D">
            <w:pPr>
              <w:jc w:val="right"/>
              <w:rPr>
                <w:szCs w:val="24"/>
              </w:rPr>
            </w:pPr>
            <w:r w:rsidRPr="00233592">
              <w:rPr>
                <w:szCs w:val="24"/>
              </w:rPr>
              <w:t>150,5</w:t>
            </w:r>
          </w:p>
        </w:tc>
        <w:tc>
          <w:tcPr>
            <w:tcW w:w="1626" w:type="dxa"/>
            <w:tcBorders>
              <w:top w:val="nil"/>
              <w:left w:val="nil"/>
              <w:bottom w:val="single" w:sz="4" w:space="0" w:color="auto"/>
              <w:right w:val="single" w:sz="4" w:space="0" w:color="auto"/>
            </w:tcBorders>
            <w:noWrap/>
            <w:vAlign w:val="center"/>
            <w:hideMark/>
          </w:tcPr>
          <w:p w14:paraId="08AFC92E" w14:textId="77777777" w:rsidR="00321D6D" w:rsidRPr="00233592" w:rsidRDefault="00321D6D" w:rsidP="00321D6D">
            <w:pPr>
              <w:jc w:val="right"/>
              <w:rPr>
                <w:szCs w:val="24"/>
              </w:rPr>
            </w:pPr>
            <w:r w:rsidRPr="00233592">
              <w:rPr>
                <w:szCs w:val="24"/>
              </w:rPr>
              <w:t>100,9</w:t>
            </w:r>
          </w:p>
        </w:tc>
      </w:tr>
      <w:tr w:rsidR="00321D6D" w:rsidRPr="00233592" w14:paraId="558D0B84" w14:textId="77777777" w:rsidTr="00233592">
        <w:trPr>
          <w:trHeight w:val="70"/>
          <w:jc w:val="center"/>
        </w:trPr>
        <w:tc>
          <w:tcPr>
            <w:tcW w:w="3823" w:type="dxa"/>
            <w:tcBorders>
              <w:top w:val="nil"/>
              <w:left w:val="single" w:sz="4" w:space="0" w:color="auto"/>
              <w:bottom w:val="single" w:sz="4" w:space="0" w:color="auto"/>
              <w:right w:val="single" w:sz="4" w:space="0" w:color="auto"/>
            </w:tcBorders>
            <w:vAlign w:val="center"/>
            <w:hideMark/>
          </w:tcPr>
          <w:p w14:paraId="6C0936A4" w14:textId="77777777" w:rsidR="00321D6D" w:rsidRPr="00233592" w:rsidRDefault="00321D6D" w:rsidP="00321D6D">
            <w:pPr>
              <w:rPr>
                <w:szCs w:val="24"/>
              </w:rPr>
            </w:pPr>
            <w:r w:rsidRPr="00233592">
              <w:rPr>
                <w:szCs w:val="24"/>
              </w:rPr>
              <w:t>Paveldimo turto mokestis</w:t>
            </w:r>
          </w:p>
        </w:tc>
        <w:tc>
          <w:tcPr>
            <w:tcW w:w="1451" w:type="dxa"/>
            <w:tcBorders>
              <w:top w:val="nil"/>
              <w:left w:val="nil"/>
              <w:bottom w:val="single" w:sz="4" w:space="0" w:color="auto"/>
              <w:right w:val="single" w:sz="4" w:space="0" w:color="auto"/>
            </w:tcBorders>
            <w:noWrap/>
            <w:vAlign w:val="center"/>
            <w:hideMark/>
          </w:tcPr>
          <w:p w14:paraId="3882116A" w14:textId="77777777" w:rsidR="00321D6D" w:rsidRPr="00233592" w:rsidRDefault="00321D6D" w:rsidP="00321D6D">
            <w:pPr>
              <w:jc w:val="right"/>
              <w:rPr>
                <w:szCs w:val="24"/>
              </w:rPr>
            </w:pPr>
            <w:r w:rsidRPr="00233592">
              <w:rPr>
                <w:szCs w:val="24"/>
              </w:rPr>
              <w:t>9,0</w:t>
            </w:r>
          </w:p>
        </w:tc>
        <w:tc>
          <w:tcPr>
            <w:tcW w:w="1290" w:type="dxa"/>
            <w:tcBorders>
              <w:top w:val="nil"/>
              <w:left w:val="nil"/>
              <w:bottom w:val="single" w:sz="4" w:space="0" w:color="auto"/>
              <w:right w:val="single" w:sz="4" w:space="0" w:color="auto"/>
            </w:tcBorders>
            <w:noWrap/>
            <w:vAlign w:val="center"/>
            <w:hideMark/>
          </w:tcPr>
          <w:p w14:paraId="70E2CF45" w14:textId="77777777" w:rsidR="00321D6D" w:rsidRPr="00233592" w:rsidRDefault="00321D6D" w:rsidP="00321D6D">
            <w:pPr>
              <w:jc w:val="right"/>
              <w:rPr>
                <w:szCs w:val="24"/>
              </w:rPr>
            </w:pPr>
            <w:r w:rsidRPr="00233592">
              <w:rPr>
                <w:szCs w:val="24"/>
              </w:rPr>
              <w:t>9,1</w:t>
            </w:r>
          </w:p>
        </w:tc>
        <w:tc>
          <w:tcPr>
            <w:tcW w:w="1444" w:type="dxa"/>
            <w:tcBorders>
              <w:top w:val="nil"/>
              <w:left w:val="nil"/>
              <w:bottom w:val="single" w:sz="4" w:space="0" w:color="auto"/>
              <w:right w:val="single" w:sz="4" w:space="0" w:color="auto"/>
            </w:tcBorders>
            <w:noWrap/>
            <w:vAlign w:val="center"/>
            <w:hideMark/>
          </w:tcPr>
          <w:p w14:paraId="48367A02" w14:textId="77777777" w:rsidR="00321D6D" w:rsidRPr="00233592" w:rsidRDefault="00321D6D" w:rsidP="00321D6D">
            <w:pPr>
              <w:jc w:val="right"/>
              <w:rPr>
                <w:szCs w:val="24"/>
              </w:rPr>
            </w:pPr>
            <w:r w:rsidRPr="00233592">
              <w:rPr>
                <w:szCs w:val="24"/>
              </w:rPr>
              <w:t>101,1</w:t>
            </w:r>
          </w:p>
        </w:tc>
        <w:tc>
          <w:tcPr>
            <w:tcW w:w="1626" w:type="dxa"/>
            <w:tcBorders>
              <w:top w:val="nil"/>
              <w:left w:val="nil"/>
              <w:bottom w:val="single" w:sz="4" w:space="0" w:color="auto"/>
              <w:right w:val="single" w:sz="4" w:space="0" w:color="auto"/>
            </w:tcBorders>
            <w:noWrap/>
            <w:vAlign w:val="center"/>
            <w:hideMark/>
          </w:tcPr>
          <w:p w14:paraId="6CF386F3" w14:textId="77777777" w:rsidR="00321D6D" w:rsidRPr="00233592" w:rsidRDefault="00321D6D" w:rsidP="00321D6D">
            <w:pPr>
              <w:jc w:val="right"/>
              <w:rPr>
                <w:szCs w:val="24"/>
              </w:rPr>
            </w:pPr>
            <w:r w:rsidRPr="00233592">
              <w:rPr>
                <w:szCs w:val="24"/>
              </w:rPr>
              <w:t>0,1</w:t>
            </w:r>
          </w:p>
        </w:tc>
      </w:tr>
      <w:tr w:rsidR="00321D6D" w:rsidRPr="00233592" w14:paraId="4A2C0759" w14:textId="77777777" w:rsidTr="00233592">
        <w:trPr>
          <w:trHeight w:val="70"/>
          <w:jc w:val="center"/>
        </w:trPr>
        <w:tc>
          <w:tcPr>
            <w:tcW w:w="3823" w:type="dxa"/>
            <w:tcBorders>
              <w:top w:val="nil"/>
              <w:left w:val="single" w:sz="4" w:space="0" w:color="auto"/>
              <w:bottom w:val="single" w:sz="4" w:space="0" w:color="auto"/>
              <w:right w:val="single" w:sz="4" w:space="0" w:color="auto"/>
            </w:tcBorders>
            <w:vAlign w:val="center"/>
            <w:hideMark/>
          </w:tcPr>
          <w:p w14:paraId="1EFFAEE2" w14:textId="0529007C" w:rsidR="00321D6D" w:rsidRPr="00233592" w:rsidRDefault="00321D6D" w:rsidP="00321D6D">
            <w:pPr>
              <w:rPr>
                <w:szCs w:val="24"/>
              </w:rPr>
            </w:pPr>
            <w:r w:rsidRPr="00233592">
              <w:rPr>
                <w:szCs w:val="24"/>
              </w:rPr>
              <w:t>Nekilnojamojo turto mokestis</w:t>
            </w:r>
          </w:p>
        </w:tc>
        <w:tc>
          <w:tcPr>
            <w:tcW w:w="1451" w:type="dxa"/>
            <w:tcBorders>
              <w:top w:val="nil"/>
              <w:left w:val="nil"/>
              <w:bottom w:val="single" w:sz="4" w:space="0" w:color="auto"/>
              <w:right w:val="single" w:sz="4" w:space="0" w:color="auto"/>
            </w:tcBorders>
            <w:noWrap/>
            <w:vAlign w:val="center"/>
            <w:hideMark/>
          </w:tcPr>
          <w:p w14:paraId="51E4C51B" w14:textId="77777777" w:rsidR="00321D6D" w:rsidRPr="00233592" w:rsidRDefault="00321D6D" w:rsidP="00321D6D">
            <w:pPr>
              <w:jc w:val="right"/>
              <w:rPr>
                <w:szCs w:val="24"/>
              </w:rPr>
            </w:pPr>
            <w:r w:rsidRPr="00233592">
              <w:rPr>
                <w:szCs w:val="24"/>
              </w:rPr>
              <w:t>200,0</w:t>
            </w:r>
          </w:p>
        </w:tc>
        <w:tc>
          <w:tcPr>
            <w:tcW w:w="1290" w:type="dxa"/>
            <w:tcBorders>
              <w:top w:val="nil"/>
              <w:left w:val="nil"/>
              <w:bottom w:val="single" w:sz="4" w:space="0" w:color="auto"/>
              <w:right w:val="single" w:sz="4" w:space="0" w:color="auto"/>
            </w:tcBorders>
            <w:noWrap/>
            <w:vAlign w:val="center"/>
            <w:hideMark/>
          </w:tcPr>
          <w:p w14:paraId="506A6EB4" w14:textId="77777777" w:rsidR="00321D6D" w:rsidRPr="00233592" w:rsidRDefault="00321D6D" w:rsidP="00321D6D">
            <w:pPr>
              <w:jc w:val="right"/>
              <w:rPr>
                <w:szCs w:val="24"/>
              </w:rPr>
            </w:pPr>
            <w:r w:rsidRPr="00233592">
              <w:rPr>
                <w:szCs w:val="24"/>
              </w:rPr>
              <w:t>315,6</w:t>
            </w:r>
          </w:p>
        </w:tc>
        <w:tc>
          <w:tcPr>
            <w:tcW w:w="1444" w:type="dxa"/>
            <w:tcBorders>
              <w:top w:val="nil"/>
              <w:left w:val="nil"/>
              <w:bottom w:val="single" w:sz="4" w:space="0" w:color="auto"/>
              <w:right w:val="single" w:sz="4" w:space="0" w:color="auto"/>
            </w:tcBorders>
            <w:noWrap/>
            <w:vAlign w:val="center"/>
            <w:hideMark/>
          </w:tcPr>
          <w:p w14:paraId="1E25DDB0" w14:textId="77777777" w:rsidR="00321D6D" w:rsidRPr="00233592" w:rsidRDefault="00321D6D" w:rsidP="00321D6D">
            <w:pPr>
              <w:jc w:val="right"/>
              <w:rPr>
                <w:szCs w:val="24"/>
              </w:rPr>
            </w:pPr>
            <w:r w:rsidRPr="00233592">
              <w:rPr>
                <w:szCs w:val="24"/>
              </w:rPr>
              <w:t>157,8</w:t>
            </w:r>
          </w:p>
        </w:tc>
        <w:tc>
          <w:tcPr>
            <w:tcW w:w="1626" w:type="dxa"/>
            <w:tcBorders>
              <w:top w:val="nil"/>
              <w:left w:val="nil"/>
              <w:bottom w:val="single" w:sz="4" w:space="0" w:color="auto"/>
              <w:right w:val="single" w:sz="4" w:space="0" w:color="auto"/>
            </w:tcBorders>
            <w:noWrap/>
            <w:vAlign w:val="center"/>
            <w:hideMark/>
          </w:tcPr>
          <w:p w14:paraId="2DB66ACD" w14:textId="77777777" w:rsidR="00321D6D" w:rsidRPr="00233592" w:rsidRDefault="00321D6D" w:rsidP="00321D6D">
            <w:pPr>
              <w:jc w:val="right"/>
              <w:rPr>
                <w:szCs w:val="24"/>
              </w:rPr>
            </w:pPr>
            <w:r w:rsidRPr="00233592">
              <w:rPr>
                <w:szCs w:val="24"/>
              </w:rPr>
              <w:t>115,6</w:t>
            </w:r>
          </w:p>
        </w:tc>
      </w:tr>
      <w:tr w:rsidR="00321D6D" w:rsidRPr="00233592" w14:paraId="5B31E914" w14:textId="77777777" w:rsidTr="00233592">
        <w:trPr>
          <w:trHeight w:val="70"/>
          <w:jc w:val="center"/>
        </w:trPr>
        <w:tc>
          <w:tcPr>
            <w:tcW w:w="3823" w:type="dxa"/>
            <w:tcBorders>
              <w:top w:val="nil"/>
              <w:left w:val="single" w:sz="4" w:space="0" w:color="auto"/>
              <w:bottom w:val="single" w:sz="4" w:space="0" w:color="auto"/>
              <w:right w:val="single" w:sz="4" w:space="0" w:color="auto"/>
            </w:tcBorders>
            <w:vAlign w:val="center"/>
            <w:hideMark/>
          </w:tcPr>
          <w:p w14:paraId="1622C91C" w14:textId="59DF8E55" w:rsidR="00321D6D" w:rsidRPr="00233592" w:rsidRDefault="00321D6D" w:rsidP="00321D6D">
            <w:pPr>
              <w:rPr>
                <w:szCs w:val="24"/>
              </w:rPr>
            </w:pPr>
            <w:r w:rsidRPr="00233592">
              <w:rPr>
                <w:szCs w:val="24"/>
              </w:rPr>
              <w:t>Atskaitymai nuo pajamų pagal L</w:t>
            </w:r>
            <w:r w:rsidR="00233592" w:rsidRPr="00233592">
              <w:rPr>
                <w:szCs w:val="24"/>
              </w:rPr>
              <w:t xml:space="preserve">ietuvos </w:t>
            </w:r>
            <w:r w:rsidRPr="00233592">
              <w:rPr>
                <w:szCs w:val="24"/>
              </w:rPr>
              <w:t>R</w:t>
            </w:r>
            <w:r w:rsidR="00233592" w:rsidRPr="00233592">
              <w:rPr>
                <w:szCs w:val="24"/>
              </w:rPr>
              <w:t>espublikos</w:t>
            </w:r>
            <w:r w:rsidRPr="00233592">
              <w:rPr>
                <w:szCs w:val="24"/>
              </w:rPr>
              <w:t xml:space="preserve"> miškų įstatymą</w:t>
            </w:r>
          </w:p>
        </w:tc>
        <w:tc>
          <w:tcPr>
            <w:tcW w:w="1451" w:type="dxa"/>
            <w:tcBorders>
              <w:top w:val="nil"/>
              <w:left w:val="nil"/>
              <w:bottom w:val="single" w:sz="4" w:space="0" w:color="auto"/>
              <w:right w:val="single" w:sz="4" w:space="0" w:color="auto"/>
            </w:tcBorders>
            <w:noWrap/>
            <w:vAlign w:val="center"/>
            <w:hideMark/>
          </w:tcPr>
          <w:p w14:paraId="4F8A009A" w14:textId="77777777" w:rsidR="00321D6D" w:rsidRPr="00233592" w:rsidRDefault="00321D6D" w:rsidP="00321D6D">
            <w:pPr>
              <w:jc w:val="right"/>
              <w:rPr>
                <w:szCs w:val="24"/>
              </w:rPr>
            </w:pPr>
            <w:r w:rsidRPr="00233592">
              <w:rPr>
                <w:szCs w:val="24"/>
              </w:rPr>
              <w:t>2 207,0</w:t>
            </w:r>
          </w:p>
        </w:tc>
        <w:tc>
          <w:tcPr>
            <w:tcW w:w="1290" w:type="dxa"/>
            <w:tcBorders>
              <w:top w:val="nil"/>
              <w:left w:val="nil"/>
              <w:bottom w:val="single" w:sz="4" w:space="0" w:color="auto"/>
              <w:right w:val="single" w:sz="4" w:space="0" w:color="auto"/>
            </w:tcBorders>
            <w:noWrap/>
            <w:vAlign w:val="center"/>
            <w:hideMark/>
          </w:tcPr>
          <w:p w14:paraId="7C45EE15" w14:textId="77777777" w:rsidR="00321D6D" w:rsidRPr="00233592" w:rsidRDefault="00321D6D" w:rsidP="00321D6D">
            <w:pPr>
              <w:jc w:val="right"/>
              <w:rPr>
                <w:szCs w:val="24"/>
              </w:rPr>
            </w:pPr>
            <w:r w:rsidRPr="00233592">
              <w:rPr>
                <w:szCs w:val="24"/>
              </w:rPr>
              <w:t>2 499,3</w:t>
            </w:r>
          </w:p>
        </w:tc>
        <w:tc>
          <w:tcPr>
            <w:tcW w:w="1444" w:type="dxa"/>
            <w:tcBorders>
              <w:top w:val="nil"/>
              <w:left w:val="nil"/>
              <w:bottom w:val="single" w:sz="4" w:space="0" w:color="auto"/>
              <w:right w:val="single" w:sz="4" w:space="0" w:color="auto"/>
            </w:tcBorders>
            <w:noWrap/>
            <w:vAlign w:val="center"/>
            <w:hideMark/>
          </w:tcPr>
          <w:p w14:paraId="21CB892D" w14:textId="77777777" w:rsidR="00321D6D" w:rsidRPr="00233592" w:rsidRDefault="00321D6D" w:rsidP="00321D6D">
            <w:pPr>
              <w:jc w:val="right"/>
              <w:rPr>
                <w:szCs w:val="24"/>
              </w:rPr>
            </w:pPr>
            <w:r w:rsidRPr="00233592">
              <w:rPr>
                <w:szCs w:val="24"/>
              </w:rPr>
              <w:t>113,2</w:t>
            </w:r>
          </w:p>
        </w:tc>
        <w:tc>
          <w:tcPr>
            <w:tcW w:w="1626" w:type="dxa"/>
            <w:tcBorders>
              <w:top w:val="nil"/>
              <w:left w:val="nil"/>
              <w:bottom w:val="single" w:sz="4" w:space="0" w:color="auto"/>
              <w:right w:val="single" w:sz="4" w:space="0" w:color="auto"/>
            </w:tcBorders>
            <w:noWrap/>
            <w:vAlign w:val="center"/>
            <w:hideMark/>
          </w:tcPr>
          <w:p w14:paraId="185A4C68" w14:textId="77777777" w:rsidR="00321D6D" w:rsidRPr="00233592" w:rsidRDefault="00321D6D" w:rsidP="00321D6D">
            <w:pPr>
              <w:jc w:val="right"/>
              <w:rPr>
                <w:szCs w:val="24"/>
              </w:rPr>
            </w:pPr>
            <w:r w:rsidRPr="00233592">
              <w:rPr>
                <w:szCs w:val="24"/>
              </w:rPr>
              <w:t>292,3</w:t>
            </w:r>
          </w:p>
        </w:tc>
      </w:tr>
      <w:tr w:rsidR="00321D6D" w:rsidRPr="00233592" w14:paraId="566453A4" w14:textId="77777777" w:rsidTr="00233592">
        <w:trPr>
          <w:trHeight w:val="319"/>
          <w:jc w:val="center"/>
        </w:trPr>
        <w:tc>
          <w:tcPr>
            <w:tcW w:w="3823" w:type="dxa"/>
            <w:tcBorders>
              <w:top w:val="nil"/>
              <w:left w:val="single" w:sz="4" w:space="0" w:color="auto"/>
              <w:bottom w:val="single" w:sz="4" w:space="0" w:color="auto"/>
              <w:right w:val="single" w:sz="4" w:space="0" w:color="auto"/>
            </w:tcBorders>
            <w:vAlign w:val="center"/>
            <w:hideMark/>
          </w:tcPr>
          <w:p w14:paraId="24C7800E" w14:textId="77777777" w:rsidR="00321D6D" w:rsidRPr="00233592" w:rsidRDefault="00321D6D" w:rsidP="00321D6D">
            <w:pPr>
              <w:rPr>
                <w:szCs w:val="24"/>
              </w:rPr>
            </w:pPr>
            <w:r w:rsidRPr="00233592">
              <w:rPr>
                <w:szCs w:val="24"/>
              </w:rPr>
              <w:t>Mokestis už aplinkos teršimą</w:t>
            </w:r>
          </w:p>
        </w:tc>
        <w:tc>
          <w:tcPr>
            <w:tcW w:w="1451" w:type="dxa"/>
            <w:tcBorders>
              <w:top w:val="nil"/>
              <w:left w:val="nil"/>
              <w:bottom w:val="single" w:sz="4" w:space="0" w:color="auto"/>
              <w:right w:val="single" w:sz="4" w:space="0" w:color="auto"/>
            </w:tcBorders>
            <w:noWrap/>
            <w:vAlign w:val="center"/>
            <w:hideMark/>
          </w:tcPr>
          <w:p w14:paraId="1488601F" w14:textId="77777777" w:rsidR="00321D6D" w:rsidRPr="00233592" w:rsidRDefault="00321D6D" w:rsidP="00321D6D">
            <w:pPr>
              <w:jc w:val="right"/>
              <w:rPr>
                <w:szCs w:val="24"/>
              </w:rPr>
            </w:pPr>
            <w:r w:rsidRPr="00233592">
              <w:rPr>
                <w:szCs w:val="24"/>
              </w:rPr>
              <w:t>61,0</w:t>
            </w:r>
          </w:p>
        </w:tc>
        <w:tc>
          <w:tcPr>
            <w:tcW w:w="1290" w:type="dxa"/>
            <w:tcBorders>
              <w:top w:val="nil"/>
              <w:left w:val="nil"/>
              <w:bottom w:val="single" w:sz="4" w:space="0" w:color="auto"/>
              <w:right w:val="single" w:sz="4" w:space="0" w:color="auto"/>
            </w:tcBorders>
            <w:noWrap/>
            <w:vAlign w:val="center"/>
            <w:hideMark/>
          </w:tcPr>
          <w:p w14:paraId="4EDC403B" w14:textId="77777777" w:rsidR="00321D6D" w:rsidRPr="00233592" w:rsidRDefault="00321D6D" w:rsidP="00321D6D">
            <w:pPr>
              <w:jc w:val="right"/>
              <w:rPr>
                <w:szCs w:val="24"/>
              </w:rPr>
            </w:pPr>
            <w:r w:rsidRPr="00233592">
              <w:rPr>
                <w:szCs w:val="24"/>
              </w:rPr>
              <w:t>73,0</w:t>
            </w:r>
          </w:p>
        </w:tc>
        <w:tc>
          <w:tcPr>
            <w:tcW w:w="1444" w:type="dxa"/>
            <w:tcBorders>
              <w:top w:val="nil"/>
              <w:left w:val="nil"/>
              <w:bottom w:val="single" w:sz="4" w:space="0" w:color="auto"/>
              <w:right w:val="single" w:sz="4" w:space="0" w:color="auto"/>
            </w:tcBorders>
            <w:noWrap/>
            <w:vAlign w:val="center"/>
            <w:hideMark/>
          </w:tcPr>
          <w:p w14:paraId="7298EF66" w14:textId="77777777" w:rsidR="00321D6D" w:rsidRPr="00233592" w:rsidRDefault="00321D6D" w:rsidP="00321D6D">
            <w:pPr>
              <w:jc w:val="right"/>
              <w:rPr>
                <w:szCs w:val="24"/>
              </w:rPr>
            </w:pPr>
            <w:r w:rsidRPr="00233592">
              <w:rPr>
                <w:szCs w:val="24"/>
              </w:rPr>
              <w:t>119,7</w:t>
            </w:r>
          </w:p>
        </w:tc>
        <w:tc>
          <w:tcPr>
            <w:tcW w:w="1626" w:type="dxa"/>
            <w:tcBorders>
              <w:top w:val="nil"/>
              <w:left w:val="nil"/>
              <w:bottom w:val="single" w:sz="4" w:space="0" w:color="auto"/>
              <w:right w:val="single" w:sz="4" w:space="0" w:color="auto"/>
            </w:tcBorders>
            <w:noWrap/>
            <w:vAlign w:val="center"/>
            <w:hideMark/>
          </w:tcPr>
          <w:p w14:paraId="7024FF55" w14:textId="2F466D42" w:rsidR="00675EDC" w:rsidRPr="00233592" w:rsidRDefault="00321D6D" w:rsidP="00675EDC">
            <w:pPr>
              <w:jc w:val="right"/>
              <w:rPr>
                <w:szCs w:val="24"/>
              </w:rPr>
            </w:pPr>
            <w:r w:rsidRPr="00233592">
              <w:rPr>
                <w:szCs w:val="24"/>
              </w:rPr>
              <w:t>12,0</w:t>
            </w:r>
          </w:p>
        </w:tc>
      </w:tr>
      <w:tr w:rsidR="00321D6D" w:rsidRPr="00233592" w14:paraId="498C2390" w14:textId="77777777" w:rsidTr="00233592">
        <w:trPr>
          <w:trHeight w:val="70"/>
          <w:jc w:val="center"/>
        </w:trPr>
        <w:tc>
          <w:tcPr>
            <w:tcW w:w="3823" w:type="dxa"/>
            <w:tcBorders>
              <w:top w:val="nil"/>
              <w:left w:val="single" w:sz="4" w:space="0" w:color="auto"/>
              <w:bottom w:val="single" w:sz="4" w:space="0" w:color="auto"/>
              <w:right w:val="single" w:sz="4" w:space="0" w:color="auto"/>
            </w:tcBorders>
            <w:vAlign w:val="center"/>
            <w:hideMark/>
          </w:tcPr>
          <w:p w14:paraId="61E9ACD8" w14:textId="77777777" w:rsidR="00321D6D" w:rsidRPr="00233592" w:rsidRDefault="00321D6D" w:rsidP="00321D6D">
            <w:pPr>
              <w:rPr>
                <w:szCs w:val="24"/>
              </w:rPr>
            </w:pPr>
            <w:r w:rsidRPr="00233592">
              <w:rPr>
                <w:szCs w:val="24"/>
              </w:rPr>
              <w:lastRenderedPageBreak/>
              <w:t>Valstybės rinkliavos</w:t>
            </w:r>
          </w:p>
        </w:tc>
        <w:tc>
          <w:tcPr>
            <w:tcW w:w="1451" w:type="dxa"/>
            <w:tcBorders>
              <w:top w:val="nil"/>
              <w:left w:val="nil"/>
              <w:bottom w:val="single" w:sz="4" w:space="0" w:color="auto"/>
              <w:right w:val="single" w:sz="4" w:space="0" w:color="auto"/>
            </w:tcBorders>
            <w:noWrap/>
            <w:vAlign w:val="center"/>
            <w:hideMark/>
          </w:tcPr>
          <w:p w14:paraId="5C98B462" w14:textId="77777777" w:rsidR="00321D6D" w:rsidRPr="00233592" w:rsidRDefault="00321D6D" w:rsidP="00321D6D">
            <w:pPr>
              <w:jc w:val="right"/>
              <w:rPr>
                <w:szCs w:val="24"/>
              </w:rPr>
            </w:pPr>
            <w:r w:rsidRPr="00233592">
              <w:rPr>
                <w:szCs w:val="24"/>
              </w:rPr>
              <w:t>33,0</w:t>
            </w:r>
          </w:p>
        </w:tc>
        <w:tc>
          <w:tcPr>
            <w:tcW w:w="1290" w:type="dxa"/>
            <w:tcBorders>
              <w:top w:val="nil"/>
              <w:left w:val="nil"/>
              <w:bottom w:val="single" w:sz="4" w:space="0" w:color="auto"/>
              <w:right w:val="single" w:sz="4" w:space="0" w:color="auto"/>
            </w:tcBorders>
            <w:noWrap/>
            <w:vAlign w:val="center"/>
            <w:hideMark/>
          </w:tcPr>
          <w:p w14:paraId="694CEC3D" w14:textId="77777777" w:rsidR="00321D6D" w:rsidRPr="00233592" w:rsidRDefault="00321D6D" w:rsidP="00321D6D">
            <w:pPr>
              <w:jc w:val="right"/>
              <w:rPr>
                <w:szCs w:val="24"/>
              </w:rPr>
            </w:pPr>
            <w:r w:rsidRPr="00233592">
              <w:rPr>
                <w:szCs w:val="24"/>
              </w:rPr>
              <w:t>46,7</w:t>
            </w:r>
          </w:p>
        </w:tc>
        <w:tc>
          <w:tcPr>
            <w:tcW w:w="1444" w:type="dxa"/>
            <w:tcBorders>
              <w:top w:val="nil"/>
              <w:left w:val="nil"/>
              <w:bottom w:val="single" w:sz="4" w:space="0" w:color="auto"/>
              <w:right w:val="single" w:sz="4" w:space="0" w:color="auto"/>
            </w:tcBorders>
            <w:noWrap/>
            <w:vAlign w:val="center"/>
            <w:hideMark/>
          </w:tcPr>
          <w:p w14:paraId="470FDBCB" w14:textId="77777777" w:rsidR="00321D6D" w:rsidRPr="00233592" w:rsidRDefault="00321D6D" w:rsidP="00321D6D">
            <w:pPr>
              <w:jc w:val="right"/>
              <w:rPr>
                <w:szCs w:val="24"/>
              </w:rPr>
            </w:pPr>
            <w:r w:rsidRPr="00233592">
              <w:rPr>
                <w:szCs w:val="24"/>
              </w:rPr>
              <w:t>141,5</w:t>
            </w:r>
          </w:p>
        </w:tc>
        <w:tc>
          <w:tcPr>
            <w:tcW w:w="1626" w:type="dxa"/>
            <w:tcBorders>
              <w:top w:val="nil"/>
              <w:left w:val="nil"/>
              <w:bottom w:val="single" w:sz="4" w:space="0" w:color="auto"/>
              <w:right w:val="single" w:sz="4" w:space="0" w:color="auto"/>
            </w:tcBorders>
            <w:noWrap/>
            <w:vAlign w:val="center"/>
            <w:hideMark/>
          </w:tcPr>
          <w:p w14:paraId="466FC959" w14:textId="77777777" w:rsidR="00321D6D" w:rsidRPr="00233592" w:rsidRDefault="00321D6D" w:rsidP="00321D6D">
            <w:pPr>
              <w:jc w:val="right"/>
              <w:rPr>
                <w:szCs w:val="24"/>
              </w:rPr>
            </w:pPr>
            <w:r w:rsidRPr="00233592">
              <w:rPr>
                <w:szCs w:val="24"/>
              </w:rPr>
              <w:t>13,7</w:t>
            </w:r>
          </w:p>
        </w:tc>
      </w:tr>
      <w:tr w:rsidR="00321D6D" w:rsidRPr="00233592" w14:paraId="7987953E" w14:textId="77777777" w:rsidTr="00233592">
        <w:trPr>
          <w:trHeight w:val="70"/>
          <w:jc w:val="center"/>
        </w:trPr>
        <w:tc>
          <w:tcPr>
            <w:tcW w:w="3823" w:type="dxa"/>
            <w:tcBorders>
              <w:top w:val="nil"/>
              <w:left w:val="single" w:sz="4" w:space="0" w:color="auto"/>
              <w:bottom w:val="single" w:sz="4" w:space="0" w:color="auto"/>
              <w:right w:val="single" w:sz="4" w:space="0" w:color="auto"/>
            </w:tcBorders>
            <w:vAlign w:val="center"/>
            <w:hideMark/>
          </w:tcPr>
          <w:p w14:paraId="203D290D" w14:textId="77777777" w:rsidR="00321D6D" w:rsidRPr="00233592" w:rsidRDefault="00321D6D" w:rsidP="00321D6D">
            <w:pPr>
              <w:rPr>
                <w:szCs w:val="24"/>
              </w:rPr>
            </w:pPr>
            <w:r w:rsidRPr="00233592">
              <w:rPr>
                <w:szCs w:val="24"/>
              </w:rPr>
              <w:t>Vietinės rinkliavos</w:t>
            </w:r>
          </w:p>
        </w:tc>
        <w:tc>
          <w:tcPr>
            <w:tcW w:w="1451" w:type="dxa"/>
            <w:tcBorders>
              <w:top w:val="nil"/>
              <w:left w:val="nil"/>
              <w:bottom w:val="single" w:sz="4" w:space="0" w:color="auto"/>
              <w:right w:val="single" w:sz="4" w:space="0" w:color="auto"/>
            </w:tcBorders>
            <w:noWrap/>
            <w:vAlign w:val="center"/>
            <w:hideMark/>
          </w:tcPr>
          <w:p w14:paraId="655C941D" w14:textId="77777777" w:rsidR="00321D6D" w:rsidRPr="00233592" w:rsidRDefault="00321D6D" w:rsidP="00321D6D">
            <w:pPr>
              <w:jc w:val="right"/>
              <w:rPr>
                <w:szCs w:val="24"/>
              </w:rPr>
            </w:pPr>
            <w:r w:rsidRPr="00233592">
              <w:rPr>
                <w:szCs w:val="24"/>
              </w:rPr>
              <w:t>1 288,6</w:t>
            </w:r>
          </w:p>
        </w:tc>
        <w:tc>
          <w:tcPr>
            <w:tcW w:w="1290" w:type="dxa"/>
            <w:tcBorders>
              <w:top w:val="nil"/>
              <w:left w:val="nil"/>
              <w:bottom w:val="single" w:sz="4" w:space="0" w:color="auto"/>
              <w:right w:val="single" w:sz="4" w:space="0" w:color="auto"/>
            </w:tcBorders>
            <w:noWrap/>
            <w:vAlign w:val="center"/>
            <w:hideMark/>
          </w:tcPr>
          <w:p w14:paraId="2BAB05D0" w14:textId="77777777" w:rsidR="00321D6D" w:rsidRPr="00233592" w:rsidRDefault="00321D6D" w:rsidP="00321D6D">
            <w:pPr>
              <w:jc w:val="right"/>
              <w:rPr>
                <w:szCs w:val="24"/>
              </w:rPr>
            </w:pPr>
            <w:r w:rsidRPr="00233592">
              <w:rPr>
                <w:szCs w:val="24"/>
              </w:rPr>
              <w:t>1 375,3</w:t>
            </w:r>
          </w:p>
        </w:tc>
        <w:tc>
          <w:tcPr>
            <w:tcW w:w="1444" w:type="dxa"/>
            <w:tcBorders>
              <w:top w:val="nil"/>
              <w:left w:val="nil"/>
              <w:bottom w:val="single" w:sz="4" w:space="0" w:color="auto"/>
              <w:right w:val="single" w:sz="4" w:space="0" w:color="auto"/>
            </w:tcBorders>
            <w:noWrap/>
            <w:vAlign w:val="center"/>
            <w:hideMark/>
          </w:tcPr>
          <w:p w14:paraId="5B0AB7E8" w14:textId="77777777" w:rsidR="00321D6D" w:rsidRPr="00233592" w:rsidRDefault="00321D6D" w:rsidP="00321D6D">
            <w:pPr>
              <w:jc w:val="right"/>
              <w:rPr>
                <w:szCs w:val="24"/>
              </w:rPr>
            </w:pPr>
            <w:r w:rsidRPr="00233592">
              <w:rPr>
                <w:szCs w:val="24"/>
              </w:rPr>
              <w:t>106,7</w:t>
            </w:r>
          </w:p>
        </w:tc>
        <w:tc>
          <w:tcPr>
            <w:tcW w:w="1626" w:type="dxa"/>
            <w:tcBorders>
              <w:top w:val="nil"/>
              <w:left w:val="nil"/>
              <w:bottom w:val="single" w:sz="4" w:space="0" w:color="auto"/>
              <w:right w:val="single" w:sz="4" w:space="0" w:color="auto"/>
            </w:tcBorders>
            <w:noWrap/>
            <w:vAlign w:val="center"/>
            <w:hideMark/>
          </w:tcPr>
          <w:p w14:paraId="453E13BA" w14:textId="77777777" w:rsidR="00321D6D" w:rsidRPr="00233592" w:rsidRDefault="00321D6D" w:rsidP="00321D6D">
            <w:pPr>
              <w:jc w:val="right"/>
              <w:rPr>
                <w:szCs w:val="24"/>
              </w:rPr>
            </w:pPr>
            <w:r w:rsidRPr="00233592">
              <w:rPr>
                <w:szCs w:val="24"/>
              </w:rPr>
              <w:t>86,7</w:t>
            </w:r>
          </w:p>
        </w:tc>
      </w:tr>
      <w:tr w:rsidR="00321D6D" w:rsidRPr="00233592" w14:paraId="228102DB" w14:textId="77777777" w:rsidTr="00233592">
        <w:trPr>
          <w:trHeight w:val="70"/>
          <w:jc w:val="center"/>
        </w:trPr>
        <w:tc>
          <w:tcPr>
            <w:tcW w:w="3823" w:type="dxa"/>
            <w:tcBorders>
              <w:top w:val="nil"/>
              <w:left w:val="nil"/>
              <w:bottom w:val="nil"/>
              <w:right w:val="nil"/>
            </w:tcBorders>
            <w:vAlign w:val="center"/>
            <w:hideMark/>
          </w:tcPr>
          <w:p w14:paraId="61756116" w14:textId="77777777" w:rsidR="00321D6D" w:rsidRPr="00233592" w:rsidRDefault="00321D6D" w:rsidP="00321D6D">
            <w:pPr>
              <w:jc w:val="right"/>
              <w:rPr>
                <w:b/>
                <w:bCs/>
                <w:szCs w:val="24"/>
              </w:rPr>
            </w:pPr>
            <w:r w:rsidRPr="00233592">
              <w:rPr>
                <w:b/>
                <w:bCs/>
                <w:szCs w:val="24"/>
              </w:rPr>
              <w:t>Iš viso:</w:t>
            </w:r>
          </w:p>
        </w:tc>
        <w:tc>
          <w:tcPr>
            <w:tcW w:w="1451"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F1A62AE" w14:textId="77777777" w:rsidR="00321D6D" w:rsidRPr="00233592" w:rsidRDefault="00321D6D" w:rsidP="00321D6D">
            <w:pPr>
              <w:jc w:val="right"/>
              <w:rPr>
                <w:b/>
                <w:bCs/>
                <w:szCs w:val="24"/>
              </w:rPr>
            </w:pPr>
            <w:r w:rsidRPr="00233592">
              <w:rPr>
                <w:b/>
                <w:bCs/>
                <w:szCs w:val="24"/>
              </w:rPr>
              <w:t>30 392,6</w:t>
            </w:r>
          </w:p>
        </w:tc>
        <w:tc>
          <w:tcPr>
            <w:tcW w:w="1290" w:type="dxa"/>
            <w:tcBorders>
              <w:top w:val="nil"/>
              <w:left w:val="nil"/>
              <w:bottom w:val="single" w:sz="4" w:space="0" w:color="auto"/>
              <w:right w:val="single" w:sz="4" w:space="0" w:color="auto"/>
            </w:tcBorders>
            <w:shd w:val="clear" w:color="auto" w:fill="C6D9F1" w:themeFill="text2" w:themeFillTint="33"/>
            <w:noWrap/>
            <w:vAlign w:val="center"/>
            <w:hideMark/>
          </w:tcPr>
          <w:p w14:paraId="6248974F" w14:textId="77777777" w:rsidR="00321D6D" w:rsidRPr="00233592" w:rsidRDefault="00321D6D" w:rsidP="00321D6D">
            <w:pPr>
              <w:jc w:val="right"/>
              <w:rPr>
                <w:b/>
                <w:bCs/>
                <w:szCs w:val="24"/>
              </w:rPr>
            </w:pPr>
            <w:r w:rsidRPr="00233592">
              <w:rPr>
                <w:b/>
                <w:bCs/>
                <w:szCs w:val="24"/>
              </w:rPr>
              <w:t>31 737,5</w:t>
            </w:r>
          </w:p>
        </w:tc>
        <w:tc>
          <w:tcPr>
            <w:tcW w:w="1444" w:type="dxa"/>
            <w:tcBorders>
              <w:top w:val="nil"/>
              <w:left w:val="nil"/>
              <w:bottom w:val="single" w:sz="4" w:space="0" w:color="auto"/>
              <w:right w:val="single" w:sz="4" w:space="0" w:color="auto"/>
            </w:tcBorders>
            <w:shd w:val="clear" w:color="auto" w:fill="C6D9F1" w:themeFill="text2" w:themeFillTint="33"/>
            <w:noWrap/>
            <w:vAlign w:val="center"/>
            <w:hideMark/>
          </w:tcPr>
          <w:p w14:paraId="15E19355" w14:textId="77777777" w:rsidR="00321D6D" w:rsidRPr="00233592" w:rsidRDefault="00321D6D" w:rsidP="00321D6D">
            <w:pPr>
              <w:jc w:val="right"/>
              <w:rPr>
                <w:b/>
                <w:bCs/>
                <w:szCs w:val="24"/>
              </w:rPr>
            </w:pPr>
            <w:r w:rsidRPr="00233592">
              <w:rPr>
                <w:b/>
                <w:bCs/>
                <w:szCs w:val="24"/>
              </w:rPr>
              <w:t>104,4</w:t>
            </w:r>
          </w:p>
        </w:tc>
        <w:tc>
          <w:tcPr>
            <w:tcW w:w="1626" w:type="dxa"/>
            <w:tcBorders>
              <w:top w:val="nil"/>
              <w:left w:val="nil"/>
              <w:bottom w:val="single" w:sz="4" w:space="0" w:color="auto"/>
              <w:right w:val="single" w:sz="4" w:space="0" w:color="auto"/>
            </w:tcBorders>
            <w:shd w:val="clear" w:color="auto" w:fill="C6D9F1" w:themeFill="text2" w:themeFillTint="33"/>
            <w:noWrap/>
            <w:vAlign w:val="center"/>
            <w:hideMark/>
          </w:tcPr>
          <w:p w14:paraId="09DDF15C" w14:textId="77777777" w:rsidR="00321D6D" w:rsidRPr="00233592" w:rsidRDefault="00321D6D" w:rsidP="00321D6D">
            <w:pPr>
              <w:jc w:val="right"/>
              <w:rPr>
                <w:b/>
                <w:bCs/>
                <w:szCs w:val="24"/>
              </w:rPr>
            </w:pPr>
            <w:r w:rsidRPr="00233592">
              <w:rPr>
                <w:b/>
                <w:bCs/>
                <w:szCs w:val="24"/>
              </w:rPr>
              <w:t>1 344,9</w:t>
            </w:r>
          </w:p>
        </w:tc>
      </w:tr>
    </w:tbl>
    <w:p w14:paraId="1B1CDD5B" w14:textId="77777777" w:rsidR="00321D6D" w:rsidRDefault="00321D6D" w:rsidP="00675EDC">
      <w:pPr>
        <w:spacing w:after="120" w:line="360" w:lineRule="auto"/>
        <w:jc w:val="both"/>
      </w:pPr>
    </w:p>
    <w:p w14:paraId="2FCF6BB3" w14:textId="2303C58F" w:rsidR="00321D6D" w:rsidRDefault="00675EDC" w:rsidP="00675EDC">
      <w:pPr>
        <w:jc w:val="center"/>
      </w:pPr>
      <w:r>
        <w:rPr>
          <w:noProof/>
        </w:rPr>
        <w:drawing>
          <wp:inline distT="0" distB="0" distL="0" distR="0" wp14:anchorId="5453DF1C" wp14:editId="2182DC9B">
            <wp:extent cx="5324475" cy="3590203"/>
            <wp:effectExtent l="0" t="0" r="0" b="0"/>
            <wp:docPr id="90099461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920" cy="3597246"/>
                    </a:xfrm>
                    <a:prstGeom prst="rect">
                      <a:avLst/>
                    </a:prstGeom>
                    <a:noFill/>
                  </pic:spPr>
                </pic:pic>
              </a:graphicData>
            </a:graphic>
          </wp:inline>
        </w:drawing>
      </w:r>
    </w:p>
    <w:p w14:paraId="02C972F0" w14:textId="7D2871EE" w:rsidR="00D624DC" w:rsidRDefault="00D624DC" w:rsidP="00675EDC">
      <w:pPr>
        <w:jc w:val="center"/>
        <w:rPr>
          <w:bCs/>
          <w:i/>
          <w:iCs/>
          <w:sz w:val="22"/>
          <w:szCs w:val="22"/>
        </w:rPr>
      </w:pPr>
      <w:r w:rsidRPr="00580643">
        <w:rPr>
          <w:bCs/>
          <w:i/>
          <w:iCs/>
          <w:sz w:val="22"/>
          <w:szCs w:val="22"/>
        </w:rPr>
        <w:t>202</w:t>
      </w:r>
      <w:r>
        <w:rPr>
          <w:bCs/>
          <w:i/>
          <w:iCs/>
          <w:sz w:val="22"/>
          <w:szCs w:val="22"/>
        </w:rPr>
        <w:t>5</w:t>
      </w:r>
      <w:r w:rsidRPr="00580643">
        <w:rPr>
          <w:bCs/>
          <w:i/>
          <w:iCs/>
          <w:sz w:val="22"/>
          <w:szCs w:val="22"/>
        </w:rPr>
        <w:t xml:space="preserve"> metų biudžeto pajamų iš mokesčių struktūra, proc.</w:t>
      </w:r>
    </w:p>
    <w:p w14:paraId="153248C0" w14:textId="3BDA4FFF" w:rsidR="00BB20C7" w:rsidRDefault="00BB20C7" w:rsidP="00675EDC">
      <w:pPr>
        <w:spacing w:line="360" w:lineRule="auto"/>
        <w:rPr>
          <w:b/>
          <w:u w:val="single"/>
        </w:rPr>
      </w:pPr>
    </w:p>
    <w:p w14:paraId="24475F45" w14:textId="313D3BF7" w:rsidR="00650261" w:rsidRPr="00315BE2" w:rsidRDefault="00650261" w:rsidP="001A0346">
      <w:pPr>
        <w:spacing w:after="120" w:line="360" w:lineRule="auto"/>
        <w:ind w:firstLine="709"/>
        <w:jc w:val="both"/>
        <w:rPr>
          <w:b/>
          <w:u w:val="single"/>
        </w:rPr>
      </w:pPr>
      <w:r w:rsidRPr="00315BE2">
        <w:rPr>
          <w:b/>
          <w:u w:val="single"/>
        </w:rPr>
        <w:t>Dotacijos</w:t>
      </w:r>
    </w:p>
    <w:p w14:paraId="611EAEF5" w14:textId="632B6017" w:rsidR="00650261" w:rsidRDefault="00650261" w:rsidP="00650261">
      <w:pPr>
        <w:spacing w:after="120" w:line="360" w:lineRule="auto"/>
        <w:ind w:firstLine="709"/>
        <w:jc w:val="both"/>
      </w:pPr>
      <w:r w:rsidRPr="00315BE2">
        <w:t>202</w:t>
      </w:r>
      <w:r>
        <w:t>5</w:t>
      </w:r>
      <w:r w:rsidRPr="00315BE2">
        <w:t xml:space="preserve"> m. bendra dotacijų suma sudarė </w:t>
      </w:r>
      <w:r>
        <w:t>35,3</w:t>
      </w:r>
      <w:r w:rsidRPr="00315BE2">
        <w:t xml:space="preserve"> proc. visų Savivaldybės biudžeto gautų pajamų. Patikslintas dotacijų planas sudarė </w:t>
      </w:r>
      <w:r>
        <w:t>18 988,5</w:t>
      </w:r>
      <w:r w:rsidRPr="00315BE2">
        <w:t xml:space="preserve"> tūkst. Eur, gauta dotacijų – </w:t>
      </w:r>
      <w:r>
        <w:t>18 719,5</w:t>
      </w:r>
      <w:r w:rsidRPr="00315BE2">
        <w:t xml:space="preserve"> tūkst. Eur.</w:t>
      </w:r>
    </w:p>
    <w:p w14:paraId="66F08055" w14:textId="1867D19D" w:rsidR="00650261" w:rsidRDefault="00650261" w:rsidP="00650261">
      <w:pPr>
        <w:spacing w:after="120" w:line="360" w:lineRule="auto"/>
        <w:jc w:val="center"/>
        <w:rPr>
          <w:b/>
        </w:rPr>
      </w:pPr>
      <w:r w:rsidRPr="007A1575">
        <w:rPr>
          <w:b/>
        </w:rPr>
        <w:t>202</w:t>
      </w:r>
      <w:r w:rsidR="00BB20C7">
        <w:rPr>
          <w:b/>
        </w:rPr>
        <w:t>5</w:t>
      </w:r>
      <w:r w:rsidRPr="007A1575">
        <w:rPr>
          <w:b/>
        </w:rPr>
        <w:t xml:space="preserve"> m</w:t>
      </w:r>
      <w:r w:rsidR="0086440C">
        <w:rPr>
          <w:b/>
        </w:rPr>
        <w:t>etų</w:t>
      </w:r>
      <w:r w:rsidRPr="007A1575">
        <w:rPr>
          <w:b/>
        </w:rPr>
        <w:t xml:space="preserve"> biudžeto pajamų iš dotacijų plano vykdymas</w:t>
      </w:r>
    </w:p>
    <w:tbl>
      <w:tblPr>
        <w:tblW w:w="9351" w:type="dxa"/>
        <w:tblLook w:val="04A0" w:firstRow="1" w:lastRow="0" w:firstColumn="1" w:lastColumn="0" w:noHBand="0" w:noVBand="1"/>
      </w:tblPr>
      <w:tblGrid>
        <w:gridCol w:w="3554"/>
        <w:gridCol w:w="1497"/>
        <w:gridCol w:w="1331"/>
        <w:gridCol w:w="1410"/>
        <w:gridCol w:w="1559"/>
      </w:tblGrid>
      <w:tr w:rsidR="00881817" w:rsidRPr="00881817" w14:paraId="11FE77CB" w14:textId="77777777" w:rsidTr="00675EDC">
        <w:trPr>
          <w:trHeight w:val="384"/>
          <w:tblHeader/>
        </w:trPr>
        <w:tc>
          <w:tcPr>
            <w:tcW w:w="355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96716E" w14:textId="77777777" w:rsidR="00881817" w:rsidRPr="00881817" w:rsidRDefault="00881817" w:rsidP="00881817">
            <w:pPr>
              <w:jc w:val="center"/>
              <w:rPr>
                <w:b/>
                <w:bCs/>
                <w:szCs w:val="24"/>
              </w:rPr>
            </w:pPr>
            <w:r w:rsidRPr="00881817">
              <w:rPr>
                <w:b/>
                <w:bCs/>
                <w:szCs w:val="24"/>
              </w:rPr>
              <w:t>Dotacijos</w:t>
            </w:r>
          </w:p>
        </w:tc>
        <w:tc>
          <w:tcPr>
            <w:tcW w:w="1497"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48A6F8A" w14:textId="77777777" w:rsidR="00881817" w:rsidRPr="00881817" w:rsidRDefault="00881817" w:rsidP="00881817">
            <w:pPr>
              <w:jc w:val="center"/>
              <w:rPr>
                <w:b/>
                <w:bCs/>
                <w:szCs w:val="24"/>
              </w:rPr>
            </w:pPr>
            <w:r w:rsidRPr="00881817">
              <w:rPr>
                <w:b/>
                <w:bCs/>
                <w:szCs w:val="24"/>
              </w:rPr>
              <w:t>Patikslintas pajamų planas, tūkst. Eur</w:t>
            </w:r>
          </w:p>
        </w:tc>
        <w:tc>
          <w:tcPr>
            <w:tcW w:w="133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DE5CE29" w14:textId="77777777" w:rsidR="00881817" w:rsidRPr="00881817" w:rsidRDefault="00881817" w:rsidP="00881817">
            <w:pPr>
              <w:jc w:val="center"/>
              <w:rPr>
                <w:b/>
                <w:bCs/>
                <w:szCs w:val="24"/>
              </w:rPr>
            </w:pPr>
            <w:r w:rsidRPr="00881817">
              <w:rPr>
                <w:b/>
                <w:bCs/>
                <w:szCs w:val="24"/>
              </w:rPr>
              <w:t>Faktiškai gauta pajamų, tūkst. Eur</w:t>
            </w:r>
          </w:p>
        </w:tc>
        <w:tc>
          <w:tcPr>
            <w:tcW w:w="141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422CA3F" w14:textId="77777777" w:rsidR="00881817" w:rsidRPr="00881817" w:rsidRDefault="00881817" w:rsidP="00881817">
            <w:pPr>
              <w:jc w:val="center"/>
              <w:rPr>
                <w:b/>
                <w:bCs/>
                <w:szCs w:val="24"/>
              </w:rPr>
            </w:pPr>
            <w:r w:rsidRPr="00881817">
              <w:rPr>
                <w:b/>
                <w:bCs/>
                <w:szCs w:val="24"/>
              </w:rPr>
              <w:t>Įvykdymas, proc.</w:t>
            </w:r>
          </w:p>
        </w:tc>
        <w:tc>
          <w:tcPr>
            <w:tcW w:w="1559"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5B59413" w14:textId="77777777" w:rsidR="00881817" w:rsidRPr="00881817" w:rsidRDefault="00881817" w:rsidP="00881817">
            <w:pPr>
              <w:jc w:val="center"/>
              <w:rPr>
                <w:b/>
                <w:bCs/>
                <w:szCs w:val="24"/>
              </w:rPr>
            </w:pPr>
            <w:r w:rsidRPr="00881817">
              <w:rPr>
                <w:b/>
                <w:bCs/>
                <w:szCs w:val="24"/>
              </w:rPr>
              <w:t>Viršyta (+) / Negauta (-), tūkst. Eur</w:t>
            </w:r>
          </w:p>
        </w:tc>
      </w:tr>
      <w:tr w:rsidR="00881817" w:rsidRPr="00881817" w14:paraId="020262D6" w14:textId="77777777" w:rsidTr="0086440C">
        <w:trPr>
          <w:trHeight w:val="73"/>
        </w:trPr>
        <w:tc>
          <w:tcPr>
            <w:tcW w:w="3554" w:type="dxa"/>
            <w:tcBorders>
              <w:top w:val="nil"/>
              <w:left w:val="single" w:sz="4" w:space="0" w:color="auto"/>
              <w:bottom w:val="single" w:sz="4" w:space="0" w:color="auto"/>
              <w:right w:val="single" w:sz="4" w:space="0" w:color="auto"/>
            </w:tcBorders>
            <w:vAlign w:val="center"/>
            <w:hideMark/>
          </w:tcPr>
          <w:p w14:paraId="6A4666E2" w14:textId="77777777" w:rsidR="00881817" w:rsidRPr="00881817" w:rsidRDefault="00881817" w:rsidP="00881817">
            <w:pPr>
              <w:rPr>
                <w:szCs w:val="24"/>
              </w:rPr>
            </w:pPr>
            <w:r w:rsidRPr="00881817">
              <w:rPr>
                <w:szCs w:val="24"/>
              </w:rPr>
              <w:t>Europos Sąjungos finansinės paramos lėšos</w:t>
            </w:r>
          </w:p>
        </w:tc>
        <w:tc>
          <w:tcPr>
            <w:tcW w:w="1497" w:type="dxa"/>
            <w:tcBorders>
              <w:top w:val="nil"/>
              <w:left w:val="nil"/>
              <w:bottom w:val="single" w:sz="4" w:space="0" w:color="auto"/>
              <w:right w:val="single" w:sz="4" w:space="0" w:color="auto"/>
            </w:tcBorders>
            <w:vAlign w:val="center"/>
            <w:hideMark/>
          </w:tcPr>
          <w:p w14:paraId="29E5D886" w14:textId="77777777" w:rsidR="00881817" w:rsidRPr="00881817" w:rsidRDefault="00881817" w:rsidP="00881817">
            <w:pPr>
              <w:jc w:val="right"/>
              <w:rPr>
                <w:szCs w:val="24"/>
              </w:rPr>
            </w:pPr>
            <w:r w:rsidRPr="00881817">
              <w:rPr>
                <w:szCs w:val="24"/>
              </w:rPr>
              <w:t>2 273,3</w:t>
            </w:r>
          </w:p>
        </w:tc>
        <w:tc>
          <w:tcPr>
            <w:tcW w:w="1331" w:type="dxa"/>
            <w:tcBorders>
              <w:top w:val="nil"/>
              <w:left w:val="nil"/>
              <w:bottom w:val="single" w:sz="4" w:space="0" w:color="auto"/>
              <w:right w:val="single" w:sz="4" w:space="0" w:color="auto"/>
            </w:tcBorders>
            <w:vAlign w:val="center"/>
            <w:hideMark/>
          </w:tcPr>
          <w:p w14:paraId="71B06026" w14:textId="77777777" w:rsidR="00881817" w:rsidRPr="00881817" w:rsidRDefault="00881817" w:rsidP="00881817">
            <w:pPr>
              <w:jc w:val="right"/>
              <w:rPr>
                <w:szCs w:val="24"/>
              </w:rPr>
            </w:pPr>
            <w:r w:rsidRPr="00881817">
              <w:rPr>
                <w:szCs w:val="24"/>
              </w:rPr>
              <w:t>2 105,5</w:t>
            </w:r>
          </w:p>
        </w:tc>
        <w:tc>
          <w:tcPr>
            <w:tcW w:w="1410" w:type="dxa"/>
            <w:tcBorders>
              <w:top w:val="nil"/>
              <w:left w:val="nil"/>
              <w:bottom w:val="single" w:sz="4" w:space="0" w:color="auto"/>
              <w:right w:val="single" w:sz="4" w:space="0" w:color="auto"/>
            </w:tcBorders>
            <w:vAlign w:val="center"/>
            <w:hideMark/>
          </w:tcPr>
          <w:p w14:paraId="166578FC" w14:textId="77777777" w:rsidR="00881817" w:rsidRPr="00881817" w:rsidRDefault="00881817" w:rsidP="00881817">
            <w:pPr>
              <w:jc w:val="right"/>
              <w:rPr>
                <w:szCs w:val="24"/>
              </w:rPr>
            </w:pPr>
            <w:r w:rsidRPr="00881817">
              <w:rPr>
                <w:szCs w:val="24"/>
              </w:rPr>
              <w:t>92,6</w:t>
            </w:r>
          </w:p>
        </w:tc>
        <w:tc>
          <w:tcPr>
            <w:tcW w:w="1559" w:type="dxa"/>
            <w:tcBorders>
              <w:top w:val="nil"/>
              <w:left w:val="nil"/>
              <w:bottom w:val="single" w:sz="4" w:space="0" w:color="auto"/>
              <w:right w:val="single" w:sz="4" w:space="0" w:color="auto"/>
            </w:tcBorders>
            <w:vAlign w:val="center"/>
            <w:hideMark/>
          </w:tcPr>
          <w:p w14:paraId="4DDF13AB" w14:textId="77777777" w:rsidR="00881817" w:rsidRPr="00881817" w:rsidRDefault="00881817" w:rsidP="00881817">
            <w:pPr>
              <w:jc w:val="right"/>
              <w:rPr>
                <w:szCs w:val="24"/>
              </w:rPr>
            </w:pPr>
            <w:r w:rsidRPr="00881817">
              <w:rPr>
                <w:szCs w:val="24"/>
              </w:rPr>
              <w:t>-167,8</w:t>
            </w:r>
          </w:p>
        </w:tc>
      </w:tr>
      <w:tr w:rsidR="00881817" w:rsidRPr="00881817" w14:paraId="2E2F5DE2" w14:textId="77777777" w:rsidTr="00675EDC">
        <w:trPr>
          <w:trHeight w:val="675"/>
        </w:trPr>
        <w:tc>
          <w:tcPr>
            <w:tcW w:w="3554" w:type="dxa"/>
            <w:tcBorders>
              <w:top w:val="nil"/>
              <w:left w:val="single" w:sz="4" w:space="0" w:color="auto"/>
              <w:bottom w:val="single" w:sz="4" w:space="0" w:color="auto"/>
              <w:right w:val="single" w:sz="4" w:space="0" w:color="auto"/>
            </w:tcBorders>
            <w:vAlign w:val="center"/>
            <w:hideMark/>
          </w:tcPr>
          <w:p w14:paraId="30966BCF" w14:textId="77777777" w:rsidR="00881817" w:rsidRPr="00881817" w:rsidRDefault="00881817" w:rsidP="00881817">
            <w:pPr>
              <w:rPr>
                <w:szCs w:val="24"/>
              </w:rPr>
            </w:pPr>
            <w:r w:rsidRPr="00881817">
              <w:rPr>
                <w:szCs w:val="24"/>
              </w:rPr>
              <w:t>Valstybinėms (valstybės perduotoms savivaldybėms) funkcijoms atlikti</w:t>
            </w:r>
          </w:p>
        </w:tc>
        <w:tc>
          <w:tcPr>
            <w:tcW w:w="1497" w:type="dxa"/>
            <w:tcBorders>
              <w:top w:val="nil"/>
              <w:left w:val="nil"/>
              <w:bottom w:val="single" w:sz="4" w:space="0" w:color="auto"/>
              <w:right w:val="single" w:sz="4" w:space="0" w:color="auto"/>
            </w:tcBorders>
            <w:vAlign w:val="center"/>
            <w:hideMark/>
          </w:tcPr>
          <w:p w14:paraId="15B2A34B" w14:textId="77777777" w:rsidR="00881817" w:rsidRPr="00881817" w:rsidRDefault="00881817" w:rsidP="00881817">
            <w:pPr>
              <w:jc w:val="right"/>
              <w:rPr>
                <w:szCs w:val="24"/>
              </w:rPr>
            </w:pPr>
            <w:r w:rsidRPr="00881817">
              <w:rPr>
                <w:szCs w:val="24"/>
              </w:rPr>
              <w:t>4 249,0</w:t>
            </w:r>
          </w:p>
        </w:tc>
        <w:tc>
          <w:tcPr>
            <w:tcW w:w="1331" w:type="dxa"/>
            <w:tcBorders>
              <w:top w:val="nil"/>
              <w:left w:val="nil"/>
              <w:bottom w:val="single" w:sz="4" w:space="0" w:color="auto"/>
              <w:right w:val="single" w:sz="4" w:space="0" w:color="auto"/>
            </w:tcBorders>
            <w:vAlign w:val="center"/>
            <w:hideMark/>
          </w:tcPr>
          <w:p w14:paraId="012F3C7B" w14:textId="77777777" w:rsidR="00881817" w:rsidRPr="00881817" w:rsidRDefault="00881817" w:rsidP="00881817">
            <w:pPr>
              <w:jc w:val="right"/>
              <w:rPr>
                <w:szCs w:val="24"/>
              </w:rPr>
            </w:pPr>
            <w:r w:rsidRPr="00881817">
              <w:rPr>
                <w:szCs w:val="24"/>
              </w:rPr>
              <w:t>4 184,5</w:t>
            </w:r>
          </w:p>
        </w:tc>
        <w:tc>
          <w:tcPr>
            <w:tcW w:w="1410" w:type="dxa"/>
            <w:tcBorders>
              <w:top w:val="nil"/>
              <w:left w:val="nil"/>
              <w:bottom w:val="single" w:sz="4" w:space="0" w:color="auto"/>
              <w:right w:val="single" w:sz="4" w:space="0" w:color="auto"/>
            </w:tcBorders>
            <w:vAlign w:val="center"/>
            <w:hideMark/>
          </w:tcPr>
          <w:p w14:paraId="0C2FF20F" w14:textId="77777777" w:rsidR="00881817" w:rsidRPr="00881817" w:rsidRDefault="00881817" w:rsidP="00881817">
            <w:pPr>
              <w:jc w:val="right"/>
              <w:rPr>
                <w:szCs w:val="24"/>
              </w:rPr>
            </w:pPr>
            <w:r w:rsidRPr="00881817">
              <w:rPr>
                <w:szCs w:val="24"/>
              </w:rPr>
              <w:t>98,5</w:t>
            </w:r>
          </w:p>
        </w:tc>
        <w:tc>
          <w:tcPr>
            <w:tcW w:w="1559" w:type="dxa"/>
            <w:tcBorders>
              <w:top w:val="nil"/>
              <w:left w:val="nil"/>
              <w:bottom w:val="single" w:sz="4" w:space="0" w:color="auto"/>
              <w:right w:val="single" w:sz="4" w:space="0" w:color="auto"/>
            </w:tcBorders>
            <w:vAlign w:val="center"/>
            <w:hideMark/>
          </w:tcPr>
          <w:p w14:paraId="2665E5D8" w14:textId="77777777" w:rsidR="00881817" w:rsidRPr="00881817" w:rsidRDefault="00881817" w:rsidP="00881817">
            <w:pPr>
              <w:jc w:val="right"/>
              <w:rPr>
                <w:szCs w:val="24"/>
              </w:rPr>
            </w:pPr>
            <w:r w:rsidRPr="00881817">
              <w:rPr>
                <w:szCs w:val="24"/>
              </w:rPr>
              <w:t>-64,5</w:t>
            </w:r>
          </w:p>
        </w:tc>
      </w:tr>
      <w:tr w:rsidR="00881817" w:rsidRPr="00881817" w14:paraId="4DD93182" w14:textId="77777777" w:rsidTr="00675EDC">
        <w:trPr>
          <w:trHeight w:val="70"/>
        </w:trPr>
        <w:tc>
          <w:tcPr>
            <w:tcW w:w="3554" w:type="dxa"/>
            <w:tcBorders>
              <w:top w:val="nil"/>
              <w:left w:val="single" w:sz="4" w:space="0" w:color="auto"/>
              <w:bottom w:val="single" w:sz="4" w:space="0" w:color="auto"/>
              <w:right w:val="single" w:sz="4" w:space="0" w:color="auto"/>
            </w:tcBorders>
            <w:vAlign w:val="center"/>
            <w:hideMark/>
          </w:tcPr>
          <w:p w14:paraId="6A317117" w14:textId="77777777" w:rsidR="00881817" w:rsidRPr="00881817" w:rsidRDefault="00881817" w:rsidP="00881817">
            <w:pPr>
              <w:rPr>
                <w:szCs w:val="24"/>
              </w:rPr>
            </w:pPr>
            <w:r w:rsidRPr="00881817">
              <w:rPr>
                <w:szCs w:val="24"/>
              </w:rPr>
              <w:t>Ugdymo reikmėms finansuoti</w:t>
            </w:r>
          </w:p>
        </w:tc>
        <w:tc>
          <w:tcPr>
            <w:tcW w:w="1497" w:type="dxa"/>
            <w:tcBorders>
              <w:top w:val="nil"/>
              <w:left w:val="nil"/>
              <w:bottom w:val="single" w:sz="4" w:space="0" w:color="auto"/>
              <w:right w:val="single" w:sz="4" w:space="0" w:color="auto"/>
            </w:tcBorders>
            <w:vAlign w:val="center"/>
            <w:hideMark/>
          </w:tcPr>
          <w:p w14:paraId="05CC7A94" w14:textId="77777777" w:rsidR="00881817" w:rsidRPr="00881817" w:rsidRDefault="00881817" w:rsidP="00881817">
            <w:pPr>
              <w:jc w:val="right"/>
              <w:rPr>
                <w:szCs w:val="24"/>
              </w:rPr>
            </w:pPr>
            <w:r w:rsidRPr="00881817">
              <w:rPr>
                <w:szCs w:val="24"/>
              </w:rPr>
              <w:t>8 509,6</w:t>
            </w:r>
          </w:p>
        </w:tc>
        <w:tc>
          <w:tcPr>
            <w:tcW w:w="1331" w:type="dxa"/>
            <w:tcBorders>
              <w:top w:val="nil"/>
              <w:left w:val="nil"/>
              <w:bottom w:val="single" w:sz="4" w:space="0" w:color="auto"/>
              <w:right w:val="single" w:sz="4" w:space="0" w:color="auto"/>
            </w:tcBorders>
            <w:vAlign w:val="center"/>
            <w:hideMark/>
          </w:tcPr>
          <w:p w14:paraId="10873B43" w14:textId="77777777" w:rsidR="00881817" w:rsidRPr="00881817" w:rsidRDefault="00881817" w:rsidP="00881817">
            <w:pPr>
              <w:jc w:val="right"/>
              <w:rPr>
                <w:szCs w:val="24"/>
              </w:rPr>
            </w:pPr>
            <w:r w:rsidRPr="00881817">
              <w:rPr>
                <w:szCs w:val="24"/>
              </w:rPr>
              <w:t>8 507,2</w:t>
            </w:r>
          </w:p>
        </w:tc>
        <w:tc>
          <w:tcPr>
            <w:tcW w:w="1410" w:type="dxa"/>
            <w:tcBorders>
              <w:top w:val="nil"/>
              <w:left w:val="nil"/>
              <w:bottom w:val="single" w:sz="4" w:space="0" w:color="auto"/>
              <w:right w:val="single" w:sz="4" w:space="0" w:color="auto"/>
            </w:tcBorders>
            <w:vAlign w:val="center"/>
            <w:hideMark/>
          </w:tcPr>
          <w:p w14:paraId="2EF9355C" w14:textId="77777777" w:rsidR="00881817" w:rsidRPr="00881817" w:rsidRDefault="00881817" w:rsidP="00881817">
            <w:pPr>
              <w:jc w:val="right"/>
              <w:rPr>
                <w:szCs w:val="24"/>
              </w:rPr>
            </w:pPr>
            <w:r w:rsidRPr="00881817">
              <w:rPr>
                <w:szCs w:val="24"/>
              </w:rPr>
              <w:t>100,0</w:t>
            </w:r>
          </w:p>
        </w:tc>
        <w:tc>
          <w:tcPr>
            <w:tcW w:w="1559" w:type="dxa"/>
            <w:tcBorders>
              <w:top w:val="nil"/>
              <w:left w:val="nil"/>
              <w:bottom w:val="single" w:sz="4" w:space="0" w:color="auto"/>
              <w:right w:val="single" w:sz="4" w:space="0" w:color="auto"/>
            </w:tcBorders>
            <w:vAlign w:val="center"/>
            <w:hideMark/>
          </w:tcPr>
          <w:p w14:paraId="2980D0DB" w14:textId="77777777" w:rsidR="00881817" w:rsidRPr="00881817" w:rsidRDefault="00881817" w:rsidP="00881817">
            <w:pPr>
              <w:jc w:val="right"/>
              <w:rPr>
                <w:szCs w:val="24"/>
              </w:rPr>
            </w:pPr>
            <w:r w:rsidRPr="00881817">
              <w:rPr>
                <w:szCs w:val="24"/>
              </w:rPr>
              <w:t>-2,4</w:t>
            </w:r>
          </w:p>
        </w:tc>
      </w:tr>
      <w:tr w:rsidR="00881817" w:rsidRPr="00881817" w14:paraId="7397A0D1" w14:textId="77777777" w:rsidTr="00675EDC">
        <w:trPr>
          <w:trHeight w:val="70"/>
        </w:trPr>
        <w:tc>
          <w:tcPr>
            <w:tcW w:w="3554" w:type="dxa"/>
            <w:tcBorders>
              <w:top w:val="nil"/>
              <w:left w:val="single" w:sz="4" w:space="0" w:color="auto"/>
              <w:bottom w:val="single" w:sz="4" w:space="0" w:color="auto"/>
              <w:right w:val="single" w:sz="4" w:space="0" w:color="auto"/>
            </w:tcBorders>
            <w:vAlign w:val="center"/>
            <w:hideMark/>
          </w:tcPr>
          <w:p w14:paraId="204D1ACD" w14:textId="77777777" w:rsidR="00881817" w:rsidRPr="00881817" w:rsidRDefault="00881817" w:rsidP="00881817">
            <w:pPr>
              <w:rPr>
                <w:szCs w:val="24"/>
              </w:rPr>
            </w:pPr>
            <w:r w:rsidRPr="00881817">
              <w:rPr>
                <w:szCs w:val="24"/>
              </w:rPr>
              <w:t>Kitos tikslinės dotacijos</w:t>
            </w:r>
          </w:p>
        </w:tc>
        <w:tc>
          <w:tcPr>
            <w:tcW w:w="1497" w:type="dxa"/>
            <w:tcBorders>
              <w:top w:val="nil"/>
              <w:left w:val="nil"/>
              <w:bottom w:val="single" w:sz="4" w:space="0" w:color="auto"/>
              <w:right w:val="single" w:sz="4" w:space="0" w:color="auto"/>
            </w:tcBorders>
            <w:vAlign w:val="center"/>
            <w:hideMark/>
          </w:tcPr>
          <w:p w14:paraId="4909E464" w14:textId="77777777" w:rsidR="00881817" w:rsidRPr="00881817" w:rsidRDefault="00881817" w:rsidP="00881817">
            <w:pPr>
              <w:jc w:val="right"/>
              <w:rPr>
                <w:szCs w:val="24"/>
              </w:rPr>
            </w:pPr>
            <w:r w:rsidRPr="00881817">
              <w:rPr>
                <w:szCs w:val="24"/>
              </w:rPr>
              <w:t>3 956,6</w:t>
            </w:r>
          </w:p>
        </w:tc>
        <w:tc>
          <w:tcPr>
            <w:tcW w:w="1331" w:type="dxa"/>
            <w:tcBorders>
              <w:top w:val="nil"/>
              <w:left w:val="nil"/>
              <w:bottom w:val="single" w:sz="4" w:space="0" w:color="auto"/>
              <w:right w:val="single" w:sz="4" w:space="0" w:color="auto"/>
            </w:tcBorders>
            <w:vAlign w:val="center"/>
            <w:hideMark/>
          </w:tcPr>
          <w:p w14:paraId="1B8BB9D4" w14:textId="77777777" w:rsidR="00881817" w:rsidRPr="00881817" w:rsidRDefault="00881817" w:rsidP="00881817">
            <w:pPr>
              <w:jc w:val="right"/>
              <w:rPr>
                <w:szCs w:val="24"/>
              </w:rPr>
            </w:pPr>
            <w:r w:rsidRPr="00881817">
              <w:rPr>
                <w:szCs w:val="24"/>
              </w:rPr>
              <w:t>3 922,3</w:t>
            </w:r>
          </w:p>
        </w:tc>
        <w:tc>
          <w:tcPr>
            <w:tcW w:w="1410" w:type="dxa"/>
            <w:tcBorders>
              <w:top w:val="nil"/>
              <w:left w:val="nil"/>
              <w:bottom w:val="single" w:sz="4" w:space="0" w:color="auto"/>
              <w:right w:val="single" w:sz="4" w:space="0" w:color="auto"/>
            </w:tcBorders>
            <w:vAlign w:val="center"/>
            <w:hideMark/>
          </w:tcPr>
          <w:p w14:paraId="5A64CA43" w14:textId="77777777" w:rsidR="00881817" w:rsidRPr="00881817" w:rsidRDefault="00881817" w:rsidP="00881817">
            <w:pPr>
              <w:jc w:val="right"/>
              <w:rPr>
                <w:szCs w:val="24"/>
              </w:rPr>
            </w:pPr>
            <w:r w:rsidRPr="00881817">
              <w:rPr>
                <w:szCs w:val="24"/>
              </w:rPr>
              <w:t>99,1</w:t>
            </w:r>
          </w:p>
        </w:tc>
        <w:tc>
          <w:tcPr>
            <w:tcW w:w="1559" w:type="dxa"/>
            <w:tcBorders>
              <w:top w:val="nil"/>
              <w:left w:val="nil"/>
              <w:bottom w:val="single" w:sz="4" w:space="0" w:color="auto"/>
              <w:right w:val="single" w:sz="4" w:space="0" w:color="auto"/>
            </w:tcBorders>
            <w:vAlign w:val="center"/>
            <w:hideMark/>
          </w:tcPr>
          <w:p w14:paraId="67B05AC8" w14:textId="77777777" w:rsidR="00881817" w:rsidRPr="00881817" w:rsidRDefault="00881817" w:rsidP="00881817">
            <w:pPr>
              <w:jc w:val="right"/>
              <w:rPr>
                <w:szCs w:val="24"/>
              </w:rPr>
            </w:pPr>
            <w:r w:rsidRPr="00881817">
              <w:rPr>
                <w:szCs w:val="24"/>
              </w:rPr>
              <w:t>-34,3</w:t>
            </w:r>
          </w:p>
        </w:tc>
      </w:tr>
      <w:tr w:rsidR="00881817" w:rsidRPr="00881817" w14:paraId="57E7C2FA" w14:textId="77777777" w:rsidTr="00675EDC">
        <w:trPr>
          <w:trHeight w:val="70"/>
        </w:trPr>
        <w:tc>
          <w:tcPr>
            <w:tcW w:w="3554" w:type="dxa"/>
            <w:tcBorders>
              <w:top w:val="nil"/>
              <w:left w:val="nil"/>
              <w:bottom w:val="nil"/>
              <w:right w:val="nil"/>
            </w:tcBorders>
            <w:vAlign w:val="center"/>
            <w:hideMark/>
          </w:tcPr>
          <w:p w14:paraId="1B015CED" w14:textId="77777777" w:rsidR="00881817" w:rsidRPr="00881817" w:rsidRDefault="00881817" w:rsidP="00881817">
            <w:pPr>
              <w:jc w:val="right"/>
              <w:rPr>
                <w:b/>
                <w:bCs/>
                <w:szCs w:val="24"/>
              </w:rPr>
            </w:pPr>
            <w:r w:rsidRPr="00881817">
              <w:rPr>
                <w:b/>
                <w:bCs/>
                <w:szCs w:val="24"/>
              </w:rPr>
              <w:t>Iš viso:</w:t>
            </w:r>
          </w:p>
        </w:tc>
        <w:tc>
          <w:tcPr>
            <w:tcW w:w="149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1E56B243" w14:textId="77777777" w:rsidR="00881817" w:rsidRPr="00881817" w:rsidRDefault="00881817" w:rsidP="00881817">
            <w:pPr>
              <w:jc w:val="right"/>
              <w:rPr>
                <w:b/>
                <w:bCs/>
                <w:szCs w:val="24"/>
              </w:rPr>
            </w:pPr>
            <w:r w:rsidRPr="00881817">
              <w:rPr>
                <w:b/>
                <w:bCs/>
                <w:szCs w:val="24"/>
              </w:rPr>
              <w:t>18 988,5</w:t>
            </w:r>
          </w:p>
        </w:tc>
        <w:tc>
          <w:tcPr>
            <w:tcW w:w="1331" w:type="dxa"/>
            <w:tcBorders>
              <w:top w:val="nil"/>
              <w:left w:val="nil"/>
              <w:bottom w:val="single" w:sz="4" w:space="0" w:color="auto"/>
              <w:right w:val="single" w:sz="4" w:space="0" w:color="auto"/>
            </w:tcBorders>
            <w:shd w:val="clear" w:color="auto" w:fill="C6D9F1" w:themeFill="text2" w:themeFillTint="33"/>
            <w:noWrap/>
            <w:vAlign w:val="center"/>
            <w:hideMark/>
          </w:tcPr>
          <w:p w14:paraId="7F0176B9" w14:textId="77777777" w:rsidR="00881817" w:rsidRPr="00881817" w:rsidRDefault="00881817" w:rsidP="00881817">
            <w:pPr>
              <w:jc w:val="right"/>
              <w:rPr>
                <w:b/>
                <w:bCs/>
                <w:szCs w:val="24"/>
              </w:rPr>
            </w:pPr>
            <w:r w:rsidRPr="00881817">
              <w:rPr>
                <w:b/>
                <w:bCs/>
                <w:szCs w:val="24"/>
              </w:rPr>
              <w:t>18 719,5</w:t>
            </w:r>
          </w:p>
        </w:tc>
        <w:tc>
          <w:tcPr>
            <w:tcW w:w="1410" w:type="dxa"/>
            <w:tcBorders>
              <w:top w:val="nil"/>
              <w:left w:val="nil"/>
              <w:bottom w:val="single" w:sz="4" w:space="0" w:color="auto"/>
              <w:right w:val="single" w:sz="4" w:space="0" w:color="auto"/>
            </w:tcBorders>
            <w:shd w:val="clear" w:color="auto" w:fill="C6D9F1" w:themeFill="text2" w:themeFillTint="33"/>
            <w:noWrap/>
            <w:vAlign w:val="center"/>
            <w:hideMark/>
          </w:tcPr>
          <w:p w14:paraId="763494DC" w14:textId="77777777" w:rsidR="00881817" w:rsidRPr="00881817" w:rsidRDefault="00881817" w:rsidP="00881817">
            <w:pPr>
              <w:jc w:val="right"/>
              <w:rPr>
                <w:b/>
                <w:bCs/>
                <w:szCs w:val="24"/>
              </w:rPr>
            </w:pPr>
            <w:r w:rsidRPr="00881817">
              <w:rPr>
                <w:b/>
                <w:bCs/>
                <w:szCs w:val="24"/>
              </w:rPr>
              <w:t>98,6</w:t>
            </w:r>
          </w:p>
        </w:tc>
        <w:tc>
          <w:tcPr>
            <w:tcW w:w="1559" w:type="dxa"/>
            <w:tcBorders>
              <w:top w:val="nil"/>
              <w:left w:val="nil"/>
              <w:bottom w:val="single" w:sz="4" w:space="0" w:color="auto"/>
              <w:right w:val="single" w:sz="4" w:space="0" w:color="auto"/>
            </w:tcBorders>
            <w:shd w:val="clear" w:color="auto" w:fill="C6D9F1" w:themeFill="text2" w:themeFillTint="33"/>
            <w:noWrap/>
            <w:vAlign w:val="center"/>
            <w:hideMark/>
          </w:tcPr>
          <w:p w14:paraId="5A3FAD4A" w14:textId="77777777" w:rsidR="00881817" w:rsidRPr="00881817" w:rsidRDefault="00881817" w:rsidP="00881817">
            <w:pPr>
              <w:jc w:val="right"/>
              <w:rPr>
                <w:b/>
                <w:bCs/>
                <w:szCs w:val="24"/>
              </w:rPr>
            </w:pPr>
            <w:r w:rsidRPr="00881817">
              <w:rPr>
                <w:b/>
                <w:bCs/>
                <w:szCs w:val="24"/>
              </w:rPr>
              <w:t>-269,0</w:t>
            </w:r>
          </w:p>
        </w:tc>
      </w:tr>
    </w:tbl>
    <w:p w14:paraId="7DDA152F" w14:textId="77777777" w:rsidR="00650261" w:rsidRDefault="00650261" w:rsidP="001E4A48">
      <w:pPr>
        <w:spacing w:line="360" w:lineRule="auto"/>
        <w:ind w:firstLine="709"/>
        <w:jc w:val="center"/>
      </w:pPr>
    </w:p>
    <w:p w14:paraId="60AEAF62" w14:textId="462715C1" w:rsidR="00650261" w:rsidRPr="00315BE2" w:rsidRDefault="00675EDC" w:rsidP="00675EDC">
      <w:pPr>
        <w:jc w:val="center"/>
      </w:pPr>
      <w:r>
        <w:rPr>
          <w:noProof/>
        </w:rPr>
        <w:lastRenderedPageBreak/>
        <w:drawing>
          <wp:inline distT="0" distB="0" distL="0" distR="0" wp14:anchorId="7CBE4F7E" wp14:editId="24F2F40D">
            <wp:extent cx="5052100" cy="3371850"/>
            <wp:effectExtent l="0" t="0" r="0" b="0"/>
            <wp:docPr id="184884727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366" cy="3375365"/>
                    </a:xfrm>
                    <a:prstGeom prst="rect">
                      <a:avLst/>
                    </a:prstGeom>
                    <a:noFill/>
                  </pic:spPr>
                </pic:pic>
              </a:graphicData>
            </a:graphic>
          </wp:inline>
        </w:drawing>
      </w:r>
    </w:p>
    <w:p w14:paraId="002BF812" w14:textId="4C9804C9" w:rsidR="00F874DF" w:rsidRDefault="00F874DF" w:rsidP="00F874DF">
      <w:pPr>
        <w:spacing w:line="360" w:lineRule="auto"/>
        <w:jc w:val="center"/>
        <w:rPr>
          <w:i/>
          <w:sz w:val="22"/>
          <w:szCs w:val="22"/>
        </w:rPr>
      </w:pPr>
      <w:r w:rsidRPr="00580643">
        <w:rPr>
          <w:i/>
          <w:sz w:val="22"/>
          <w:szCs w:val="22"/>
        </w:rPr>
        <w:t>202</w:t>
      </w:r>
      <w:r>
        <w:rPr>
          <w:i/>
          <w:sz w:val="22"/>
          <w:szCs w:val="22"/>
        </w:rPr>
        <w:t>5</w:t>
      </w:r>
      <w:r w:rsidRPr="00580643">
        <w:rPr>
          <w:i/>
          <w:sz w:val="22"/>
          <w:szCs w:val="22"/>
        </w:rPr>
        <w:t xml:space="preserve"> metų pajamų iš dotacijų struktūra, proc.</w:t>
      </w:r>
    </w:p>
    <w:p w14:paraId="185E7BFA" w14:textId="77777777" w:rsidR="00971942" w:rsidRDefault="00971942" w:rsidP="00F874DF">
      <w:pPr>
        <w:spacing w:line="360" w:lineRule="auto"/>
        <w:jc w:val="center"/>
        <w:rPr>
          <w:i/>
          <w:sz w:val="22"/>
          <w:szCs w:val="22"/>
        </w:rPr>
      </w:pPr>
    </w:p>
    <w:p w14:paraId="52B89E8B" w14:textId="6328A501" w:rsidR="00F874DF" w:rsidRPr="001D691C" w:rsidRDefault="00F874DF" w:rsidP="00F874DF">
      <w:pPr>
        <w:spacing w:line="360" w:lineRule="auto"/>
        <w:ind w:firstLine="709"/>
        <w:jc w:val="both"/>
      </w:pPr>
      <w:r w:rsidRPr="001D691C">
        <w:t>Patikslintas Europos Sąjungos finansinės paramos lėšų planas – 2</w:t>
      </w:r>
      <w:r w:rsidR="00971942">
        <w:t> 273,3</w:t>
      </w:r>
      <w:r w:rsidRPr="001D691C">
        <w:t xml:space="preserve"> tūkst. Eur, faktiškai gauta lėšų – 2</w:t>
      </w:r>
      <w:r w:rsidR="00971942">
        <w:t> 105,5</w:t>
      </w:r>
      <w:r w:rsidRPr="001D691C">
        <w:t xml:space="preserve"> tūkst. Eur. Planas įvykdytas </w:t>
      </w:r>
      <w:r w:rsidR="00971942">
        <w:t>92,6</w:t>
      </w:r>
      <w:r w:rsidRPr="001D691C">
        <w:t xml:space="preserve"> proc. </w:t>
      </w:r>
    </w:p>
    <w:p w14:paraId="0FA71862" w14:textId="6627A687" w:rsidR="00F874DF" w:rsidRPr="008E786B" w:rsidRDefault="00F874DF" w:rsidP="00F874DF">
      <w:pPr>
        <w:spacing w:line="360" w:lineRule="auto"/>
        <w:ind w:firstLine="709"/>
        <w:jc w:val="both"/>
      </w:pPr>
      <w:r w:rsidRPr="001D691C">
        <w:t xml:space="preserve">Patikslintas specialios tikslinės </w:t>
      </w:r>
      <w:r w:rsidRPr="008E786B">
        <w:t xml:space="preserve">dotacijos </w:t>
      </w:r>
      <w:r w:rsidRPr="00656E6D">
        <w:t xml:space="preserve">valstybinėms (valstybės perduotoms savivaldybėms) funkcijoms atlikti planas – </w:t>
      </w:r>
      <w:r w:rsidR="00971942" w:rsidRPr="00656E6D">
        <w:t>4 249,0</w:t>
      </w:r>
      <w:r w:rsidRPr="00656E6D">
        <w:t xml:space="preserve"> tūkst. Eur, gauta dotacijų – </w:t>
      </w:r>
      <w:r w:rsidR="00971942" w:rsidRPr="00656E6D">
        <w:t>4</w:t>
      </w:r>
      <w:r w:rsidR="00A3207E" w:rsidRPr="00656E6D">
        <w:t> 248,2</w:t>
      </w:r>
      <w:r w:rsidRPr="00656E6D">
        <w:t xml:space="preserve"> tūkst. Eur, faktiškai panaudota – </w:t>
      </w:r>
      <w:r w:rsidR="00A3207E" w:rsidRPr="00656E6D">
        <w:t>4 184,5</w:t>
      </w:r>
      <w:r w:rsidRPr="00656E6D">
        <w:t xml:space="preserve"> tūkst. Eur dotacijų. Specialios tikslinės dotacijos valstybinėms</w:t>
      </w:r>
      <w:r w:rsidRPr="008E786B">
        <w:t xml:space="preserve"> (valstybės perduotoms savivaldybėms) funkcijoms atlikti planas įvykdytas 98,</w:t>
      </w:r>
      <w:r w:rsidR="00A3207E">
        <w:t>5</w:t>
      </w:r>
      <w:r w:rsidRPr="008E786B">
        <w:t xml:space="preserve"> proc., į valstybės biudžetą grąžinta </w:t>
      </w:r>
      <w:r w:rsidR="00A3207E">
        <w:t>63,7</w:t>
      </w:r>
      <w:r w:rsidRPr="008E786B">
        <w:t xml:space="preserve"> tūkst. Eur nepanaudotų dotacijų. </w:t>
      </w:r>
    </w:p>
    <w:p w14:paraId="185F31EF" w14:textId="65550128" w:rsidR="00F874DF" w:rsidRPr="008E786B" w:rsidRDefault="00F874DF" w:rsidP="00F874DF">
      <w:pPr>
        <w:spacing w:line="360" w:lineRule="auto"/>
        <w:ind w:firstLine="709"/>
        <w:jc w:val="both"/>
      </w:pPr>
      <w:r w:rsidRPr="008E786B">
        <w:t xml:space="preserve">Patikslintas specialios tikslinės dotacijos ugdymo reikmėms finansuoti planas – </w:t>
      </w:r>
      <w:r w:rsidR="00A3207E">
        <w:t>8 509,6</w:t>
      </w:r>
      <w:r w:rsidRPr="008E786B">
        <w:t xml:space="preserve"> tūkst. Eur, faktiškai panaudota lėšų – </w:t>
      </w:r>
      <w:r w:rsidR="00A3207E">
        <w:t>8 507,2</w:t>
      </w:r>
      <w:r w:rsidRPr="008E786B">
        <w:t xml:space="preserve"> tūkst. Eur, į valstybės biudžetą grąžinta </w:t>
      </w:r>
      <w:r w:rsidR="00A3207E">
        <w:t>2,4</w:t>
      </w:r>
      <w:r w:rsidRPr="008E786B">
        <w:t xml:space="preserve"> tūkst. Eur.</w:t>
      </w:r>
    </w:p>
    <w:p w14:paraId="294EBC3B" w14:textId="2EE18361" w:rsidR="00F874DF" w:rsidRDefault="00F874DF" w:rsidP="00F874DF">
      <w:pPr>
        <w:spacing w:line="360" w:lineRule="auto"/>
        <w:ind w:firstLine="709"/>
        <w:jc w:val="both"/>
      </w:pPr>
      <w:r w:rsidRPr="008E786B">
        <w:t xml:space="preserve">Patikslintas kitų tikslinių dotacijų planas – </w:t>
      </w:r>
      <w:r w:rsidR="00A3207E">
        <w:t>3 956,6</w:t>
      </w:r>
      <w:r w:rsidRPr="008E786B">
        <w:t xml:space="preserve"> tūkst. Eur, gauta – </w:t>
      </w:r>
      <w:r w:rsidR="001431A6">
        <w:t xml:space="preserve">3 954,6 </w:t>
      </w:r>
      <w:r w:rsidRPr="008E786B">
        <w:t xml:space="preserve">tūkst. Eur, faktiškai </w:t>
      </w:r>
      <w:r w:rsidRPr="0029402A">
        <w:t xml:space="preserve">panaudota – </w:t>
      </w:r>
      <w:r w:rsidR="001431A6">
        <w:t>3 922,3</w:t>
      </w:r>
      <w:r w:rsidRPr="0029402A">
        <w:t xml:space="preserve"> tūkst. Eur, į valstybės biudžetą grąžinta </w:t>
      </w:r>
      <w:r w:rsidR="001431A6">
        <w:t>32,3</w:t>
      </w:r>
      <w:r w:rsidRPr="0029402A">
        <w:t xml:space="preserve"> tūkst. Eur. </w:t>
      </w:r>
    </w:p>
    <w:p w14:paraId="16B2FD63" w14:textId="77777777" w:rsidR="001431A6" w:rsidRPr="0029402A" w:rsidRDefault="001431A6" w:rsidP="001431A6">
      <w:pPr>
        <w:spacing w:line="360" w:lineRule="auto"/>
        <w:ind w:firstLine="709"/>
        <w:jc w:val="both"/>
        <w:rPr>
          <w:b/>
          <w:u w:val="single"/>
        </w:rPr>
      </w:pPr>
      <w:r w:rsidRPr="0029402A">
        <w:rPr>
          <w:b/>
          <w:u w:val="single"/>
        </w:rPr>
        <w:t>Kitos pajamos</w:t>
      </w:r>
    </w:p>
    <w:p w14:paraId="6BAF71B0" w14:textId="768294C1" w:rsidR="001431A6" w:rsidRPr="00DA6663" w:rsidRDefault="001431A6" w:rsidP="001431A6">
      <w:pPr>
        <w:spacing w:line="360" w:lineRule="auto"/>
        <w:ind w:firstLine="709"/>
        <w:jc w:val="both"/>
      </w:pPr>
      <w:r w:rsidRPr="0029402A">
        <w:t>202</w:t>
      </w:r>
      <w:r>
        <w:t>5</w:t>
      </w:r>
      <w:r w:rsidRPr="0029402A">
        <w:t xml:space="preserve"> metais kitos pajamos sudarė 7,</w:t>
      </w:r>
      <w:r>
        <w:t>2</w:t>
      </w:r>
      <w:r w:rsidRPr="0029402A">
        <w:t xml:space="preserve"> proc. visų Savivaldybės biudžeto gautų pajamų ir dotacijų. Patikslintas kitų pajamų 202</w:t>
      </w:r>
      <w:r>
        <w:t>5</w:t>
      </w:r>
      <w:r w:rsidRPr="0029402A">
        <w:t xml:space="preserve"> metų planas – 3</w:t>
      </w:r>
      <w:r>
        <w:t> 419,2</w:t>
      </w:r>
      <w:r w:rsidRPr="0029402A">
        <w:t xml:space="preserve"> tūkst. Eur, faktiškai gauta – 3 </w:t>
      </w:r>
      <w:r>
        <w:t>805,6</w:t>
      </w:r>
      <w:r w:rsidRPr="00DA6663">
        <w:t xml:space="preserve"> tūkst. Eur. Planas įvykdytas </w:t>
      </w:r>
      <w:r>
        <w:t>111,3</w:t>
      </w:r>
      <w:r w:rsidRPr="00DA6663">
        <w:t xml:space="preserve"> proc., t. y. gauta </w:t>
      </w:r>
      <w:r>
        <w:t>386,4</w:t>
      </w:r>
      <w:r w:rsidRPr="00DA6663">
        <w:t xml:space="preserve"> tūkst. Eur pajamų daugiau, negu buvo planuota. </w:t>
      </w:r>
      <w:r w:rsidRPr="00AF5043">
        <w:t xml:space="preserve">Didžiąją šių pajamų dalį – </w:t>
      </w:r>
      <w:r w:rsidR="00F978FD" w:rsidRPr="00AF5043">
        <w:t>1 422,0</w:t>
      </w:r>
      <w:r w:rsidRPr="00AF5043">
        <w:t xml:space="preserve"> tūkst. Eur – sudarė</w:t>
      </w:r>
      <w:r w:rsidR="00F978FD" w:rsidRPr="00AF5043">
        <w:t xml:space="preserve"> valstybės ir vietinės rinkliavos</w:t>
      </w:r>
      <w:r w:rsidRPr="00AF5043">
        <w:t xml:space="preserve"> </w:t>
      </w:r>
      <w:r w:rsidR="00656E6D">
        <w:t>bei</w:t>
      </w:r>
      <w:r w:rsidRPr="00AF5043">
        <w:t xml:space="preserve"> biudžetinių įstaigų pajamos už prekes ir paslaugas – 1</w:t>
      </w:r>
      <w:r w:rsidR="00F978FD" w:rsidRPr="00AF5043">
        <w:t> 779,3</w:t>
      </w:r>
      <w:r w:rsidRPr="00AF5043">
        <w:t xml:space="preserve"> tūkst. Eur.</w:t>
      </w:r>
    </w:p>
    <w:p w14:paraId="44A96C04" w14:textId="77777777" w:rsidR="001431A6" w:rsidRPr="00D317CA" w:rsidRDefault="001431A6" w:rsidP="001431A6">
      <w:pPr>
        <w:spacing w:line="360" w:lineRule="auto"/>
        <w:ind w:firstLine="709"/>
        <w:jc w:val="both"/>
        <w:rPr>
          <w:b/>
          <w:u w:val="single"/>
        </w:rPr>
      </w:pPr>
      <w:r w:rsidRPr="00D317CA">
        <w:rPr>
          <w:b/>
          <w:u w:val="single"/>
        </w:rPr>
        <w:t>Materialiojo ir nematerialiojo turto realizavimo pajamos</w:t>
      </w:r>
    </w:p>
    <w:p w14:paraId="32A1B1B1" w14:textId="409D3987" w:rsidR="001431A6" w:rsidRPr="00D317CA" w:rsidRDefault="001431A6" w:rsidP="001431A6">
      <w:pPr>
        <w:spacing w:line="360" w:lineRule="auto"/>
        <w:ind w:firstLine="709"/>
        <w:jc w:val="both"/>
      </w:pPr>
      <w:r w:rsidRPr="00D317CA">
        <w:t>202</w:t>
      </w:r>
      <w:r w:rsidR="000B6328">
        <w:t>5</w:t>
      </w:r>
      <w:r w:rsidRPr="00D317CA">
        <w:t xml:space="preserve"> metais ilgalaikio materialiojo turto realizavimo pajamų planas – </w:t>
      </w:r>
      <w:r w:rsidR="000B6328">
        <w:t>61</w:t>
      </w:r>
      <w:r w:rsidRPr="00D317CA">
        <w:t xml:space="preserve">,0 tūkst. Eur, faktiškai gauta pajamų – </w:t>
      </w:r>
      <w:r w:rsidR="000B6328">
        <w:t>161,4</w:t>
      </w:r>
      <w:r w:rsidRPr="00D317CA">
        <w:t xml:space="preserve"> tūkst. Eur. Ilgalaikio materialiojo turto realizavimo pajamų planas viršytas, </w:t>
      </w:r>
      <w:r w:rsidRPr="00D317CA">
        <w:lastRenderedPageBreak/>
        <w:t xml:space="preserve">gauta </w:t>
      </w:r>
      <w:r w:rsidR="000B6328">
        <w:t>100,4</w:t>
      </w:r>
      <w:r w:rsidRPr="00D317CA">
        <w:t xml:space="preserve"> tūkst. Eur pajamų daugiau, negu buvo planuota, ir tai sudarė pajamos, gautos už parduotą valstybinę žemę bei parduotus Savivaldybei nuosavybės teise priklausančius gyvenamuosius ir negyvenamuosius pastatus</w:t>
      </w:r>
      <w:r w:rsidR="000B6328">
        <w:t xml:space="preserve"> ir kitą ilgalaikį turtą</w:t>
      </w:r>
      <w:r w:rsidRPr="00D317CA">
        <w:t>.</w:t>
      </w:r>
    </w:p>
    <w:p w14:paraId="002A9DC9" w14:textId="77777777" w:rsidR="001431A6" w:rsidRPr="001F3481" w:rsidRDefault="001431A6" w:rsidP="001431A6">
      <w:pPr>
        <w:spacing w:line="360" w:lineRule="auto"/>
        <w:ind w:firstLine="709"/>
        <w:jc w:val="both"/>
        <w:rPr>
          <w:b/>
          <w:caps/>
          <w:u w:val="single"/>
        </w:rPr>
      </w:pPr>
      <w:r w:rsidRPr="001F3481">
        <w:rPr>
          <w:b/>
          <w:u w:val="single"/>
        </w:rPr>
        <w:t>Apyvartinės lėšos biudžeto lėšų stygiui dengti</w:t>
      </w:r>
    </w:p>
    <w:p w14:paraId="7DF3CA42" w14:textId="1AF081BB" w:rsidR="001431A6" w:rsidRPr="001F3481" w:rsidRDefault="001431A6" w:rsidP="001431A6">
      <w:pPr>
        <w:spacing w:line="360" w:lineRule="auto"/>
        <w:ind w:firstLine="709"/>
        <w:jc w:val="both"/>
      </w:pPr>
      <w:r w:rsidRPr="001F3481">
        <w:t>202</w:t>
      </w:r>
      <w:r w:rsidR="000B6328">
        <w:t>4</w:t>
      </w:r>
      <w:r w:rsidRPr="001F3481">
        <w:t xml:space="preserve"> m. gruodžio 31 d. nepanaudotas biudžeto lėšų likutis sudarė </w:t>
      </w:r>
      <w:r w:rsidR="000B6328">
        <w:t>5 401,4</w:t>
      </w:r>
      <w:r w:rsidRPr="001F3481">
        <w:t xml:space="preserve"> tūkst. Eur. Šios lėšos skirtos 202</w:t>
      </w:r>
      <w:r w:rsidR="000B6328">
        <w:t>5</w:t>
      </w:r>
      <w:r w:rsidRPr="001F3481">
        <w:t xml:space="preserve"> metų pradžioje susidariusiam kreditiniam įsiskolinimui padengti, </w:t>
      </w:r>
      <w:r w:rsidR="00D62215" w:rsidRPr="00D62215">
        <w:t xml:space="preserve">socialinėms pašalpoms ir kompensacijoms </w:t>
      </w:r>
      <w:r w:rsidR="00D62215">
        <w:t>bei</w:t>
      </w:r>
      <w:r w:rsidRPr="001F3481">
        <w:t xml:space="preserve"> kitoms einamosioms išlaidoms mokėti.</w:t>
      </w:r>
    </w:p>
    <w:p w14:paraId="2696B6DD" w14:textId="77777777" w:rsidR="00D82D99" w:rsidRDefault="00D82D99">
      <w:pPr>
        <w:tabs>
          <w:tab w:val="left" w:pos="540"/>
        </w:tabs>
        <w:jc w:val="both"/>
        <w:rPr>
          <w:szCs w:val="24"/>
          <w:lang w:eastAsia="lt-LT"/>
        </w:rPr>
      </w:pPr>
    </w:p>
    <w:p w14:paraId="7EF2130C" w14:textId="77777777" w:rsidR="00D82D99" w:rsidRDefault="00233AE1">
      <w:pPr>
        <w:tabs>
          <w:tab w:val="left" w:pos="426"/>
        </w:tabs>
        <w:jc w:val="center"/>
        <w:rPr>
          <w:szCs w:val="24"/>
          <w:lang w:eastAsia="lt-LT"/>
        </w:rPr>
      </w:pPr>
      <w:r>
        <w:rPr>
          <w:b/>
          <w:szCs w:val="24"/>
          <w:lang w:eastAsia="lt-LT"/>
        </w:rPr>
        <w:t>IV</w:t>
      </w:r>
      <w:r>
        <w:rPr>
          <w:szCs w:val="24"/>
          <w:lang w:eastAsia="lt-LT"/>
        </w:rPr>
        <w:t xml:space="preserve"> </w:t>
      </w:r>
      <w:r>
        <w:rPr>
          <w:b/>
          <w:szCs w:val="24"/>
          <w:lang w:eastAsia="lt-LT"/>
        </w:rPr>
        <w:t>SKYRIUS</w:t>
      </w:r>
    </w:p>
    <w:p w14:paraId="27D1C09A" w14:textId="77777777" w:rsidR="00D82D99" w:rsidRDefault="00233AE1">
      <w:pPr>
        <w:jc w:val="center"/>
        <w:rPr>
          <w:b/>
          <w:szCs w:val="24"/>
          <w:lang w:eastAsia="lt-LT"/>
        </w:rPr>
      </w:pPr>
      <w:r>
        <w:rPr>
          <w:b/>
          <w:szCs w:val="24"/>
          <w:lang w:eastAsia="lt-LT"/>
        </w:rPr>
        <w:t>SAVIVALDYBĖS BIUDŽETO IŠLAIDŲ PLANO VYKDYMAS</w:t>
      </w:r>
    </w:p>
    <w:p w14:paraId="34D6968F" w14:textId="77777777" w:rsidR="00D82D99" w:rsidRDefault="00D82D99">
      <w:pPr>
        <w:tabs>
          <w:tab w:val="left" w:pos="540"/>
        </w:tabs>
        <w:jc w:val="center"/>
        <w:rPr>
          <w:b/>
          <w:i/>
          <w:iCs/>
          <w:color w:val="A6A6A6"/>
          <w:szCs w:val="24"/>
          <w:lang w:eastAsia="lt-LT"/>
        </w:rPr>
      </w:pPr>
    </w:p>
    <w:p w14:paraId="3C7A63E3" w14:textId="128B714B" w:rsidR="009B0B16" w:rsidRPr="0063307D" w:rsidRDefault="009B0B16" w:rsidP="009B0B16">
      <w:pPr>
        <w:tabs>
          <w:tab w:val="left" w:pos="1134"/>
        </w:tabs>
        <w:spacing w:line="360" w:lineRule="auto"/>
        <w:ind w:firstLine="709"/>
        <w:jc w:val="both"/>
        <w:rPr>
          <w:bCs/>
          <w:iCs/>
        </w:rPr>
      </w:pPr>
      <w:r w:rsidRPr="0063307D">
        <w:t xml:space="preserve">Savivaldybės </w:t>
      </w:r>
      <w:r w:rsidR="00426A42">
        <w:t xml:space="preserve">2025–2027 metų </w:t>
      </w:r>
      <w:r w:rsidRPr="0063307D">
        <w:t xml:space="preserve">biudžeto </w:t>
      </w:r>
      <w:r w:rsidR="00426A42" w:rsidRPr="0063307D">
        <w:t>202</w:t>
      </w:r>
      <w:r w:rsidR="00426A42">
        <w:t>5</w:t>
      </w:r>
      <w:r w:rsidR="00426A42" w:rsidRPr="0063307D">
        <w:t xml:space="preserve"> metų </w:t>
      </w:r>
      <w:r w:rsidRPr="0063307D">
        <w:t xml:space="preserve">pradinis asignavimų planas – </w:t>
      </w:r>
      <w:r w:rsidR="006F741E">
        <w:rPr>
          <w:bCs/>
          <w:iCs/>
        </w:rPr>
        <w:t>50 077,7</w:t>
      </w:r>
      <w:r w:rsidRPr="0063307D">
        <w:rPr>
          <w:bCs/>
          <w:iCs/>
        </w:rPr>
        <w:t xml:space="preserve"> tūkst. Eur, kartu su finansinių įsipareigojimų vykdymo (paskolų gražinimo) išlaidomis – </w:t>
      </w:r>
      <w:r w:rsidR="006F741E">
        <w:rPr>
          <w:bCs/>
          <w:iCs/>
        </w:rPr>
        <w:t>50 989,4</w:t>
      </w:r>
      <w:r w:rsidRPr="0063307D">
        <w:rPr>
          <w:bCs/>
          <w:iCs/>
        </w:rPr>
        <w:t xml:space="preserve"> tūkst. Eur</w:t>
      </w:r>
      <w:r w:rsidRPr="0063307D">
        <w:t>. Patikslintas 202</w:t>
      </w:r>
      <w:r w:rsidR="006F741E">
        <w:t>5</w:t>
      </w:r>
      <w:r w:rsidRPr="0063307D">
        <w:t xml:space="preserve"> metų asignavimų planas sudarė </w:t>
      </w:r>
      <w:r w:rsidR="006F741E">
        <w:t>56 029,0</w:t>
      </w:r>
      <w:r w:rsidRPr="0063307D">
        <w:t xml:space="preserve"> </w:t>
      </w:r>
      <w:r w:rsidRPr="0063307D">
        <w:rPr>
          <w:bCs/>
          <w:iCs/>
        </w:rPr>
        <w:t xml:space="preserve">tūkst. </w:t>
      </w:r>
      <w:r w:rsidRPr="0063307D">
        <w:t xml:space="preserve">Eur, </w:t>
      </w:r>
      <w:r w:rsidRPr="0063307D">
        <w:rPr>
          <w:bCs/>
          <w:iCs/>
        </w:rPr>
        <w:t xml:space="preserve">kartu su finansinių įsipareigojimų vykdymo (paskolų gražinimo) išlaidomis – </w:t>
      </w:r>
      <w:r w:rsidR="006F741E">
        <w:rPr>
          <w:bCs/>
          <w:iCs/>
        </w:rPr>
        <w:t>56 941,1</w:t>
      </w:r>
      <w:r w:rsidRPr="0063307D">
        <w:rPr>
          <w:bCs/>
          <w:iCs/>
        </w:rPr>
        <w:t xml:space="preserve"> tūkst. Eur. </w:t>
      </w:r>
    </w:p>
    <w:p w14:paraId="3E56D382" w14:textId="1E4101EE" w:rsidR="009B0B16" w:rsidRPr="0063307D" w:rsidRDefault="009B0B16" w:rsidP="009B0B16">
      <w:pPr>
        <w:spacing w:line="360" w:lineRule="auto"/>
        <w:ind w:firstLine="709"/>
        <w:jc w:val="both"/>
      </w:pPr>
      <w:r w:rsidRPr="0063307D">
        <w:t>Panaudoti asignavimai (kartu su finansinių įsipareigojimų vykdymo (paskolų grąžinimo) išlaidomis</w:t>
      </w:r>
      <w:r w:rsidRPr="0063307D">
        <w:rPr>
          <w:bCs/>
          <w:iCs/>
        </w:rPr>
        <w:t>)</w:t>
      </w:r>
      <w:r w:rsidRPr="0063307D">
        <w:t xml:space="preserve"> 202</w:t>
      </w:r>
      <w:r w:rsidR="006F741E">
        <w:t>5</w:t>
      </w:r>
      <w:r w:rsidRPr="0063307D">
        <w:t xml:space="preserve"> metais sudarė </w:t>
      </w:r>
      <w:r w:rsidR="006F741E">
        <w:t>53 517,3</w:t>
      </w:r>
      <w:r w:rsidRPr="0063307D">
        <w:t xml:space="preserve"> tūkst. Eur (įskaitant 202</w:t>
      </w:r>
      <w:r w:rsidR="006F741E">
        <w:t>4</w:t>
      </w:r>
      <w:r w:rsidRPr="0063307D">
        <w:t xml:space="preserve"> m. gruodžio 31 d. nepanaudotą biudžeto lėšų likutį – </w:t>
      </w:r>
      <w:r w:rsidR="006F741E">
        <w:t>5 401,4</w:t>
      </w:r>
      <w:r w:rsidRPr="0063307D">
        <w:t xml:space="preserve"> tūkst. Eur). Metinis Savivaldybės biudžeto </w:t>
      </w:r>
      <w:r w:rsidR="00426A42" w:rsidRPr="0063307D">
        <w:t>202</w:t>
      </w:r>
      <w:r w:rsidR="00426A42">
        <w:t>5</w:t>
      </w:r>
      <w:r w:rsidR="00426A42" w:rsidRPr="0063307D">
        <w:t xml:space="preserve"> metų </w:t>
      </w:r>
      <w:r w:rsidRPr="0063307D">
        <w:t>asignavimų planas įvykdytas 94,</w:t>
      </w:r>
      <w:r w:rsidR="007B4860">
        <w:t>0</w:t>
      </w:r>
      <w:r w:rsidRPr="0063307D">
        <w:t xml:space="preserve"> proc.</w:t>
      </w:r>
    </w:p>
    <w:p w14:paraId="23FCE61D" w14:textId="76D423F6" w:rsidR="009B0B16" w:rsidRDefault="009B0B16" w:rsidP="009B0B16">
      <w:pPr>
        <w:spacing w:after="120" w:line="360" w:lineRule="auto"/>
        <w:ind w:firstLine="709"/>
        <w:jc w:val="both"/>
      </w:pPr>
      <w:r w:rsidRPr="0063307D">
        <w:t xml:space="preserve">Savivaldybės biudžeto </w:t>
      </w:r>
      <w:r w:rsidR="00426A42" w:rsidRPr="0063307D">
        <w:t>202</w:t>
      </w:r>
      <w:r w:rsidR="00426A42">
        <w:t>5</w:t>
      </w:r>
      <w:r w:rsidR="00426A42" w:rsidRPr="0063307D">
        <w:t xml:space="preserve"> metų </w:t>
      </w:r>
      <w:r w:rsidRPr="0063307D">
        <w:t xml:space="preserve">asignavimų planas buvo patvirtintas vadovaujantis Savivaldybės tarybos </w:t>
      </w:r>
      <w:r w:rsidRPr="0063307D">
        <w:rPr>
          <w:rStyle w:val="markedcontent"/>
        </w:rPr>
        <w:t>202</w:t>
      </w:r>
      <w:r w:rsidR="007B4860">
        <w:rPr>
          <w:rStyle w:val="markedcontent"/>
        </w:rPr>
        <w:t>5</w:t>
      </w:r>
      <w:r w:rsidRPr="0063307D">
        <w:rPr>
          <w:rStyle w:val="markedcontent"/>
        </w:rPr>
        <w:t xml:space="preserve"> m. vasario 1</w:t>
      </w:r>
      <w:r w:rsidR="007B4860">
        <w:rPr>
          <w:rStyle w:val="markedcontent"/>
        </w:rPr>
        <w:t>8</w:t>
      </w:r>
      <w:r w:rsidRPr="0063307D">
        <w:rPr>
          <w:rStyle w:val="markedcontent"/>
        </w:rPr>
        <w:t xml:space="preserve"> d. sprendimu Nr. T-X-</w:t>
      </w:r>
      <w:r w:rsidR="007B4860">
        <w:rPr>
          <w:rStyle w:val="markedcontent"/>
        </w:rPr>
        <w:t>520</w:t>
      </w:r>
      <w:r w:rsidRPr="0063307D">
        <w:t xml:space="preserve"> patvirtintu Savivaldybės </w:t>
      </w:r>
      <w:r>
        <w:br/>
      </w:r>
      <w:r w:rsidRPr="0063307D">
        <w:t>202</w:t>
      </w:r>
      <w:r w:rsidR="007B4860">
        <w:t>5</w:t>
      </w:r>
      <w:r w:rsidRPr="0063307D">
        <w:t>–202</w:t>
      </w:r>
      <w:r w:rsidR="007B4860">
        <w:t>7</w:t>
      </w:r>
      <w:r w:rsidRPr="0063307D">
        <w:t xml:space="preserve"> metų strateginiu veiklos planu – jame patvirtintomis programomis ir priemonėmis.</w:t>
      </w:r>
    </w:p>
    <w:p w14:paraId="1BE70881" w14:textId="60833039" w:rsidR="00D12B1F" w:rsidRPr="00580643" w:rsidRDefault="003D4DC5" w:rsidP="00D12B1F">
      <w:pPr>
        <w:spacing w:line="360" w:lineRule="auto"/>
        <w:jc w:val="center"/>
        <w:rPr>
          <w:b/>
        </w:rPr>
      </w:pPr>
      <w:r>
        <w:rPr>
          <w:b/>
        </w:rPr>
        <w:t xml:space="preserve">Savivaldybės </w:t>
      </w:r>
      <w:r w:rsidR="00D12B1F" w:rsidRPr="00AF5C0B">
        <w:rPr>
          <w:b/>
        </w:rPr>
        <w:t xml:space="preserve">biudžeto </w:t>
      </w:r>
      <w:r w:rsidRPr="00AF5C0B">
        <w:rPr>
          <w:b/>
        </w:rPr>
        <w:t>202</w:t>
      </w:r>
      <w:r>
        <w:rPr>
          <w:b/>
        </w:rPr>
        <w:t>5</w:t>
      </w:r>
      <w:r w:rsidRPr="00AF5C0B">
        <w:rPr>
          <w:b/>
        </w:rPr>
        <w:t xml:space="preserve"> metų </w:t>
      </w:r>
      <w:r w:rsidR="00D12B1F" w:rsidRPr="00AF5C0B">
        <w:rPr>
          <w:b/>
        </w:rPr>
        <w:t xml:space="preserve">asignavimų </w:t>
      </w:r>
      <w:r w:rsidR="00D12B1F" w:rsidRPr="00580643">
        <w:rPr>
          <w:b/>
        </w:rPr>
        <w:t>vykdymas pagal programas</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2"/>
        <w:gridCol w:w="1417"/>
        <w:gridCol w:w="1560"/>
        <w:gridCol w:w="1559"/>
        <w:gridCol w:w="1701"/>
      </w:tblGrid>
      <w:tr w:rsidR="006D4291" w:rsidRPr="006D4291" w14:paraId="4CD207F3" w14:textId="77777777" w:rsidTr="00D801E1">
        <w:trPr>
          <w:trHeight w:val="1043"/>
          <w:tblHeader/>
        </w:trPr>
        <w:tc>
          <w:tcPr>
            <w:tcW w:w="3392" w:type="dxa"/>
            <w:shd w:val="clear" w:color="auto" w:fill="C6D9F1" w:themeFill="text2" w:themeFillTint="33"/>
            <w:vAlign w:val="center"/>
            <w:hideMark/>
          </w:tcPr>
          <w:p w14:paraId="218C5036" w14:textId="177A75FA" w:rsidR="006D4291" w:rsidRPr="006D4291" w:rsidRDefault="006D4291" w:rsidP="006D4291">
            <w:pPr>
              <w:jc w:val="center"/>
              <w:rPr>
                <w:b/>
                <w:bCs/>
                <w:szCs w:val="24"/>
              </w:rPr>
            </w:pPr>
            <w:r w:rsidRPr="006D4291">
              <w:rPr>
                <w:b/>
                <w:bCs/>
                <w:szCs w:val="24"/>
              </w:rPr>
              <w:t>Programos kodas ir pavadinimas</w:t>
            </w:r>
          </w:p>
        </w:tc>
        <w:tc>
          <w:tcPr>
            <w:tcW w:w="1417" w:type="dxa"/>
            <w:shd w:val="clear" w:color="auto" w:fill="C6D9F1" w:themeFill="text2" w:themeFillTint="33"/>
            <w:vAlign w:val="center"/>
            <w:hideMark/>
          </w:tcPr>
          <w:p w14:paraId="1EEDFDF0" w14:textId="654BDEE3" w:rsidR="006D4291" w:rsidRPr="006D4291" w:rsidRDefault="006D4291" w:rsidP="006D4291">
            <w:pPr>
              <w:jc w:val="center"/>
              <w:rPr>
                <w:b/>
                <w:bCs/>
                <w:szCs w:val="24"/>
              </w:rPr>
            </w:pPr>
            <w:r w:rsidRPr="006D4291">
              <w:rPr>
                <w:b/>
                <w:bCs/>
                <w:szCs w:val="24"/>
              </w:rPr>
              <w:t>2025 metų asignavimų planas, tūkst. Eur</w:t>
            </w:r>
          </w:p>
        </w:tc>
        <w:tc>
          <w:tcPr>
            <w:tcW w:w="1560" w:type="dxa"/>
            <w:shd w:val="clear" w:color="auto" w:fill="C6D9F1" w:themeFill="text2" w:themeFillTint="33"/>
            <w:vAlign w:val="center"/>
            <w:hideMark/>
          </w:tcPr>
          <w:p w14:paraId="2B339D41" w14:textId="77777777" w:rsidR="006D4291" w:rsidRPr="006D4291" w:rsidRDefault="006D4291" w:rsidP="006D4291">
            <w:pPr>
              <w:jc w:val="center"/>
              <w:rPr>
                <w:b/>
                <w:bCs/>
                <w:szCs w:val="24"/>
              </w:rPr>
            </w:pPr>
            <w:r w:rsidRPr="006D4291">
              <w:rPr>
                <w:b/>
                <w:bCs/>
                <w:szCs w:val="24"/>
              </w:rPr>
              <w:t>Panaudota asignavimų, tūkst. Eur</w:t>
            </w:r>
          </w:p>
        </w:tc>
        <w:tc>
          <w:tcPr>
            <w:tcW w:w="1559" w:type="dxa"/>
            <w:shd w:val="clear" w:color="auto" w:fill="C6D9F1" w:themeFill="text2" w:themeFillTint="33"/>
            <w:vAlign w:val="center"/>
            <w:hideMark/>
          </w:tcPr>
          <w:p w14:paraId="7624A1DF" w14:textId="77777777" w:rsidR="006D4291" w:rsidRPr="006D4291" w:rsidRDefault="006D4291" w:rsidP="006D4291">
            <w:pPr>
              <w:jc w:val="center"/>
              <w:rPr>
                <w:b/>
                <w:bCs/>
                <w:szCs w:val="24"/>
              </w:rPr>
            </w:pPr>
            <w:r w:rsidRPr="006D4291">
              <w:rPr>
                <w:b/>
                <w:bCs/>
                <w:szCs w:val="24"/>
              </w:rPr>
              <w:t>Panaudota asignavimų, proc.</w:t>
            </w:r>
          </w:p>
        </w:tc>
        <w:tc>
          <w:tcPr>
            <w:tcW w:w="1701" w:type="dxa"/>
            <w:shd w:val="clear" w:color="auto" w:fill="C6D9F1" w:themeFill="text2" w:themeFillTint="33"/>
            <w:vAlign w:val="center"/>
            <w:hideMark/>
          </w:tcPr>
          <w:p w14:paraId="451AE70D" w14:textId="77777777" w:rsidR="006D4291" w:rsidRDefault="006D4291" w:rsidP="006D4291">
            <w:pPr>
              <w:jc w:val="center"/>
              <w:rPr>
                <w:b/>
                <w:bCs/>
                <w:szCs w:val="24"/>
              </w:rPr>
            </w:pPr>
            <w:r w:rsidRPr="006D4291">
              <w:rPr>
                <w:b/>
                <w:bCs/>
                <w:szCs w:val="24"/>
              </w:rPr>
              <w:t xml:space="preserve">Nepanaudotų </w:t>
            </w:r>
            <w:r w:rsidRPr="006D4291">
              <w:rPr>
                <w:b/>
                <w:bCs/>
                <w:szCs w:val="24"/>
              </w:rPr>
              <w:br/>
              <w:t>asignavimų</w:t>
            </w:r>
            <w:r w:rsidRPr="006D4291">
              <w:rPr>
                <w:b/>
                <w:bCs/>
                <w:szCs w:val="24"/>
              </w:rPr>
              <w:br/>
              <w:t xml:space="preserve"> likutis, </w:t>
            </w:r>
          </w:p>
          <w:p w14:paraId="7662F15A" w14:textId="341EB431" w:rsidR="006D4291" w:rsidRPr="006D4291" w:rsidRDefault="006D4291" w:rsidP="006D4291">
            <w:pPr>
              <w:jc w:val="center"/>
              <w:rPr>
                <w:b/>
                <w:bCs/>
                <w:szCs w:val="24"/>
              </w:rPr>
            </w:pPr>
            <w:r w:rsidRPr="006D4291">
              <w:rPr>
                <w:b/>
                <w:bCs/>
                <w:szCs w:val="24"/>
              </w:rPr>
              <w:t>tūkst. Eur</w:t>
            </w:r>
          </w:p>
        </w:tc>
      </w:tr>
      <w:tr w:rsidR="006D4291" w:rsidRPr="006D4291" w14:paraId="7945DB13" w14:textId="77777777" w:rsidTr="00D801E1">
        <w:trPr>
          <w:trHeight w:val="132"/>
        </w:trPr>
        <w:tc>
          <w:tcPr>
            <w:tcW w:w="3392" w:type="dxa"/>
            <w:vAlign w:val="center"/>
            <w:hideMark/>
          </w:tcPr>
          <w:p w14:paraId="65833F2C" w14:textId="131C9CE0" w:rsidR="006D4291" w:rsidRPr="006D4291" w:rsidRDefault="006D4291" w:rsidP="006D4291">
            <w:pPr>
              <w:rPr>
                <w:szCs w:val="24"/>
              </w:rPr>
            </w:pPr>
            <w:r w:rsidRPr="006D4291">
              <w:rPr>
                <w:szCs w:val="24"/>
              </w:rPr>
              <w:t>01. Švietimo programa</w:t>
            </w:r>
          </w:p>
        </w:tc>
        <w:tc>
          <w:tcPr>
            <w:tcW w:w="1417" w:type="dxa"/>
            <w:noWrap/>
            <w:vAlign w:val="center"/>
            <w:hideMark/>
          </w:tcPr>
          <w:p w14:paraId="771B61B5" w14:textId="77777777" w:rsidR="006D4291" w:rsidRPr="006D4291" w:rsidRDefault="006D4291" w:rsidP="006D4291">
            <w:pPr>
              <w:jc w:val="right"/>
              <w:rPr>
                <w:color w:val="000000"/>
                <w:szCs w:val="24"/>
              </w:rPr>
            </w:pPr>
            <w:r w:rsidRPr="006D4291">
              <w:rPr>
                <w:color w:val="000000"/>
                <w:szCs w:val="24"/>
              </w:rPr>
              <w:t>18 172,3</w:t>
            </w:r>
          </w:p>
        </w:tc>
        <w:tc>
          <w:tcPr>
            <w:tcW w:w="1560" w:type="dxa"/>
            <w:noWrap/>
            <w:vAlign w:val="center"/>
            <w:hideMark/>
          </w:tcPr>
          <w:p w14:paraId="70805E14" w14:textId="77777777" w:rsidR="006D4291" w:rsidRPr="006D4291" w:rsidRDefault="006D4291" w:rsidP="006D4291">
            <w:pPr>
              <w:jc w:val="right"/>
              <w:rPr>
                <w:szCs w:val="24"/>
              </w:rPr>
            </w:pPr>
            <w:r w:rsidRPr="006D4291">
              <w:rPr>
                <w:szCs w:val="24"/>
              </w:rPr>
              <w:t>17 789,5</w:t>
            </w:r>
          </w:p>
        </w:tc>
        <w:tc>
          <w:tcPr>
            <w:tcW w:w="1559" w:type="dxa"/>
            <w:noWrap/>
            <w:vAlign w:val="center"/>
            <w:hideMark/>
          </w:tcPr>
          <w:p w14:paraId="07A612E4" w14:textId="77777777" w:rsidR="006D4291" w:rsidRPr="006D4291" w:rsidRDefault="006D4291" w:rsidP="006D4291">
            <w:pPr>
              <w:jc w:val="right"/>
              <w:rPr>
                <w:szCs w:val="24"/>
              </w:rPr>
            </w:pPr>
            <w:r w:rsidRPr="006D4291">
              <w:rPr>
                <w:szCs w:val="24"/>
              </w:rPr>
              <w:t>97,9</w:t>
            </w:r>
          </w:p>
        </w:tc>
        <w:tc>
          <w:tcPr>
            <w:tcW w:w="1701" w:type="dxa"/>
            <w:noWrap/>
            <w:vAlign w:val="center"/>
            <w:hideMark/>
          </w:tcPr>
          <w:p w14:paraId="092F5E6B" w14:textId="77777777" w:rsidR="006D4291" w:rsidRPr="006D4291" w:rsidRDefault="006D4291" w:rsidP="006D4291">
            <w:pPr>
              <w:jc w:val="right"/>
              <w:rPr>
                <w:szCs w:val="24"/>
              </w:rPr>
            </w:pPr>
            <w:r w:rsidRPr="006D4291">
              <w:rPr>
                <w:szCs w:val="24"/>
              </w:rPr>
              <w:t>382,8</w:t>
            </w:r>
          </w:p>
        </w:tc>
      </w:tr>
      <w:tr w:rsidR="006D4291" w:rsidRPr="006D4291" w14:paraId="2280B2E4" w14:textId="77777777" w:rsidTr="00D801E1">
        <w:trPr>
          <w:trHeight w:val="562"/>
        </w:trPr>
        <w:tc>
          <w:tcPr>
            <w:tcW w:w="3392" w:type="dxa"/>
            <w:vAlign w:val="center"/>
            <w:hideMark/>
          </w:tcPr>
          <w:p w14:paraId="7A87DA6E" w14:textId="3D8D261E" w:rsidR="006D4291" w:rsidRPr="006D4291" w:rsidRDefault="006D4291" w:rsidP="006D4291">
            <w:pPr>
              <w:rPr>
                <w:szCs w:val="24"/>
              </w:rPr>
            </w:pPr>
            <w:r w:rsidRPr="006D4291">
              <w:rPr>
                <w:szCs w:val="24"/>
              </w:rPr>
              <w:t>02. Bendruomeniškumo ugdymo ir visuomenės saugumo</w:t>
            </w:r>
            <w:r w:rsidR="00FB6044">
              <w:rPr>
                <w:szCs w:val="24"/>
              </w:rPr>
              <w:t xml:space="preserve"> </w:t>
            </w:r>
            <w:r w:rsidR="00FB6044" w:rsidRPr="00FB6044">
              <w:rPr>
                <w:szCs w:val="24"/>
              </w:rPr>
              <w:t xml:space="preserve">užtikrinimo </w:t>
            </w:r>
            <w:r w:rsidRPr="006D4291">
              <w:rPr>
                <w:szCs w:val="24"/>
              </w:rPr>
              <w:t>programa</w:t>
            </w:r>
          </w:p>
        </w:tc>
        <w:tc>
          <w:tcPr>
            <w:tcW w:w="1417" w:type="dxa"/>
            <w:noWrap/>
            <w:vAlign w:val="center"/>
            <w:hideMark/>
          </w:tcPr>
          <w:p w14:paraId="48D3AB8A" w14:textId="77777777" w:rsidR="006D4291" w:rsidRPr="006D4291" w:rsidRDefault="006D4291" w:rsidP="006D4291">
            <w:pPr>
              <w:jc w:val="right"/>
              <w:rPr>
                <w:color w:val="000000"/>
                <w:szCs w:val="24"/>
              </w:rPr>
            </w:pPr>
            <w:r w:rsidRPr="006D4291">
              <w:rPr>
                <w:color w:val="000000"/>
                <w:szCs w:val="24"/>
              </w:rPr>
              <w:t>1 595,9</w:t>
            </w:r>
          </w:p>
        </w:tc>
        <w:tc>
          <w:tcPr>
            <w:tcW w:w="1560" w:type="dxa"/>
            <w:noWrap/>
            <w:vAlign w:val="center"/>
            <w:hideMark/>
          </w:tcPr>
          <w:p w14:paraId="7B68B774" w14:textId="77777777" w:rsidR="006D4291" w:rsidRPr="006D4291" w:rsidRDefault="006D4291" w:rsidP="006D4291">
            <w:pPr>
              <w:jc w:val="right"/>
              <w:rPr>
                <w:szCs w:val="24"/>
              </w:rPr>
            </w:pPr>
            <w:r w:rsidRPr="006D4291">
              <w:rPr>
                <w:szCs w:val="24"/>
              </w:rPr>
              <w:t>1 567,5</w:t>
            </w:r>
          </w:p>
        </w:tc>
        <w:tc>
          <w:tcPr>
            <w:tcW w:w="1559" w:type="dxa"/>
            <w:noWrap/>
            <w:vAlign w:val="center"/>
            <w:hideMark/>
          </w:tcPr>
          <w:p w14:paraId="7B52D3AD" w14:textId="77777777" w:rsidR="006D4291" w:rsidRPr="006D4291" w:rsidRDefault="006D4291" w:rsidP="006D4291">
            <w:pPr>
              <w:jc w:val="right"/>
              <w:rPr>
                <w:szCs w:val="24"/>
              </w:rPr>
            </w:pPr>
            <w:r w:rsidRPr="006D4291">
              <w:rPr>
                <w:szCs w:val="24"/>
              </w:rPr>
              <w:t>98,2</w:t>
            </w:r>
          </w:p>
        </w:tc>
        <w:tc>
          <w:tcPr>
            <w:tcW w:w="1701" w:type="dxa"/>
            <w:noWrap/>
            <w:vAlign w:val="center"/>
            <w:hideMark/>
          </w:tcPr>
          <w:p w14:paraId="338F7B79" w14:textId="77777777" w:rsidR="006D4291" w:rsidRPr="006D4291" w:rsidRDefault="006D4291" w:rsidP="006D4291">
            <w:pPr>
              <w:jc w:val="right"/>
              <w:rPr>
                <w:szCs w:val="24"/>
              </w:rPr>
            </w:pPr>
            <w:r w:rsidRPr="006D4291">
              <w:rPr>
                <w:szCs w:val="24"/>
              </w:rPr>
              <w:t>28,4</w:t>
            </w:r>
          </w:p>
        </w:tc>
      </w:tr>
      <w:tr w:rsidR="006D4291" w:rsidRPr="006D4291" w14:paraId="1FD017D6" w14:textId="77777777" w:rsidTr="00D801E1">
        <w:trPr>
          <w:trHeight w:val="148"/>
        </w:trPr>
        <w:tc>
          <w:tcPr>
            <w:tcW w:w="3392" w:type="dxa"/>
            <w:vAlign w:val="center"/>
            <w:hideMark/>
          </w:tcPr>
          <w:p w14:paraId="5ADBEF3C" w14:textId="6E74FA11" w:rsidR="006D4291" w:rsidRPr="006D4291" w:rsidRDefault="006D4291" w:rsidP="006D4291">
            <w:pPr>
              <w:rPr>
                <w:szCs w:val="24"/>
              </w:rPr>
            </w:pPr>
            <w:r w:rsidRPr="006D4291">
              <w:rPr>
                <w:szCs w:val="24"/>
              </w:rPr>
              <w:t>03. Socialinės apsaugos programa</w:t>
            </w:r>
          </w:p>
        </w:tc>
        <w:tc>
          <w:tcPr>
            <w:tcW w:w="1417" w:type="dxa"/>
            <w:noWrap/>
            <w:vAlign w:val="center"/>
            <w:hideMark/>
          </w:tcPr>
          <w:p w14:paraId="4275C77C" w14:textId="77777777" w:rsidR="006D4291" w:rsidRPr="006D4291" w:rsidRDefault="006D4291" w:rsidP="006D4291">
            <w:pPr>
              <w:jc w:val="right"/>
              <w:rPr>
                <w:color w:val="000000"/>
                <w:szCs w:val="24"/>
              </w:rPr>
            </w:pPr>
            <w:r w:rsidRPr="006D4291">
              <w:rPr>
                <w:color w:val="000000"/>
                <w:szCs w:val="24"/>
              </w:rPr>
              <w:t>11 992,5</w:t>
            </w:r>
          </w:p>
        </w:tc>
        <w:tc>
          <w:tcPr>
            <w:tcW w:w="1560" w:type="dxa"/>
            <w:noWrap/>
            <w:vAlign w:val="center"/>
            <w:hideMark/>
          </w:tcPr>
          <w:p w14:paraId="3B72AF19" w14:textId="77777777" w:rsidR="006D4291" w:rsidRPr="006D4291" w:rsidRDefault="006D4291" w:rsidP="006D4291">
            <w:pPr>
              <w:jc w:val="right"/>
              <w:rPr>
                <w:szCs w:val="24"/>
              </w:rPr>
            </w:pPr>
            <w:r w:rsidRPr="006D4291">
              <w:rPr>
                <w:szCs w:val="24"/>
              </w:rPr>
              <w:t>11 440,4</w:t>
            </w:r>
          </w:p>
        </w:tc>
        <w:tc>
          <w:tcPr>
            <w:tcW w:w="1559" w:type="dxa"/>
            <w:noWrap/>
            <w:vAlign w:val="center"/>
            <w:hideMark/>
          </w:tcPr>
          <w:p w14:paraId="39B41DC3" w14:textId="77777777" w:rsidR="006D4291" w:rsidRPr="006D4291" w:rsidRDefault="006D4291" w:rsidP="006D4291">
            <w:pPr>
              <w:jc w:val="right"/>
              <w:rPr>
                <w:szCs w:val="24"/>
              </w:rPr>
            </w:pPr>
            <w:r w:rsidRPr="006D4291">
              <w:rPr>
                <w:szCs w:val="24"/>
              </w:rPr>
              <w:t>95,4</w:t>
            </w:r>
          </w:p>
        </w:tc>
        <w:tc>
          <w:tcPr>
            <w:tcW w:w="1701" w:type="dxa"/>
            <w:noWrap/>
            <w:vAlign w:val="center"/>
            <w:hideMark/>
          </w:tcPr>
          <w:p w14:paraId="4DE686D9" w14:textId="77777777" w:rsidR="006D4291" w:rsidRPr="006D4291" w:rsidRDefault="006D4291" w:rsidP="006D4291">
            <w:pPr>
              <w:jc w:val="right"/>
              <w:rPr>
                <w:szCs w:val="24"/>
              </w:rPr>
            </w:pPr>
            <w:r w:rsidRPr="006D4291">
              <w:rPr>
                <w:szCs w:val="24"/>
              </w:rPr>
              <w:t>552,1</w:t>
            </w:r>
          </w:p>
        </w:tc>
      </w:tr>
      <w:tr w:rsidR="006D4291" w:rsidRPr="006D4291" w14:paraId="3C09F10F" w14:textId="77777777" w:rsidTr="00D801E1">
        <w:trPr>
          <w:trHeight w:val="526"/>
        </w:trPr>
        <w:tc>
          <w:tcPr>
            <w:tcW w:w="3392" w:type="dxa"/>
            <w:vAlign w:val="center"/>
            <w:hideMark/>
          </w:tcPr>
          <w:p w14:paraId="68D91DA1" w14:textId="37EED198" w:rsidR="006D4291" w:rsidRPr="006D4291" w:rsidRDefault="006D4291" w:rsidP="006D4291">
            <w:pPr>
              <w:rPr>
                <w:szCs w:val="24"/>
              </w:rPr>
            </w:pPr>
            <w:r w:rsidRPr="006D4291">
              <w:rPr>
                <w:szCs w:val="24"/>
              </w:rPr>
              <w:t>04. Sveikatos apsaugos ir fizinio aktyvumo skatinimo programa</w:t>
            </w:r>
          </w:p>
        </w:tc>
        <w:tc>
          <w:tcPr>
            <w:tcW w:w="1417" w:type="dxa"/>
            <w:noWrap/>
            <w:vAlign w:val="center"/>
            <w:hideMark/>
          </w:tcPr>
          <w:p w14:paraId="6C52892B" w14:textId="77777777" w:rsidR="006D4291" w:rsidRPr="006D4291" w:rsidRDefault="006D4291" w:rsidP="006D4291">
            <w:pPr>
              <w:jc w:val="right"/>
              <w:rPr>
                <w:color w:val="000000"/>
                <w:szCs w:val="24"/>
              </w:rPr>
            </w:pPr>
            <w:r w:rsidRPr="006D4291">
              <w:rPr>
                <w:color w:val="000000"/>
                <w:szCs w:val="24"/>
              </w:rPr>
              <w:t>2 818,0</w:t>
            </w:r>
          </w:p>
        </w:tc>
        <w:tc>
          <w:tcPr>
            <w:tcW w:w="1560" w:type="dxa"/>
            <w:noWrap/>
            <w:vAlign w:val="center"/>
            <w:hideMark/>
          </w:tcPr>
          <w:p w14:paraId="3565351A" w14:textId="77777777" w:rsidR="006D4291" w:rsidRPr="006D4291" w:rsidRDefault="006D4291" w:rsidP="006D4291">
            <w:pPr>
              <w:jc w:val="right"/>
              <w:rPr>
                <w:szCs w:val="24"/>
              </w:rPr>
            </w:pPr>
            <w:r w:rsidRPr="006D4291">
              <w:rPr>
                <w:szCs w:val="24"/>
              </w:rPr>
              <w:t>2 732,0</w:t>
            </w:r>
          </w:p>
        </w:tc>
        <w:tc>
          <w:tcPr>
            <w:tcW w:w="1559" w:type="dxa"/>
            <w:noWrap/>
            <w:vAlign w:val="center"/>
            <w:hideMark/>
          </w:tcPr>
          <w:p w14:paraId="06B2F14D" w14:textId="77777777" w:rsidR="006D4291" w:rsidRPr="006D4291" w:rsidRDefault="006D4291" w:rsidP="006D4291">
            <w:pPr>
              <w:jc w:val="right"/>
              <w:rPr>
                <w:szCs w:val="24"/>
              </w:rPr>
            </w:pPr>
            <w:r w:rsidRPr="006D4291">
              <w:rPr>
                <w:szCs w:val="24"/>
              </w:rPr>
              <w:t>96,9</w:t>
            </w:r>
          </w:p>
        </w:tc>
        <w:tc>
          <w:tcPr>
            <w:tcW w:w="1701" w:type="dxa"/>
            <w:noWrap/>
            <w:vAlign w:val="center"/>
            <w:hideMark/>
          </w:tcPr>
          <w:p w14:paraId="19DFDC0F" w14:textId="77777777" w:rsidR="006D4291" w:rsidRPr="006D4291" w:rsidRDefault="006D4291" w:rsidP="006D4291">
            <w:pPr>
              <w:jc w:val="right"/>
              <w:rPr>
                <w:szCs w:val="24"/>
              </w:rPr>
            </w:pPr>
            <w:r w:rsidRPr="006D4291">
              <w:rPr>
                <w:szCs w:val="24"/>
              </w:rPr>
              <w:t>86,0</w:t>
            </w:r>
          </w:p>
        </w:tc>
      </w:tr>
      <w:tr w:rsidR="006D4291" w:rsidRPr="006D4291" w14:paraId="397A7163" w14:textId="77777777" w:rsidTr="00D801E1">
        <w:trPr>
          <w:trHeight w:val="292"/>
        </w:trPr>
        <w:tc>
          <w:tcPr>
            <w:tcW w:w="3392" w:type="dxa"/>
            <w:vAlign w:val="center"/>
            <w:hideMark/>
          </w:tcPr>
          <w:p w14:paraId="758CA77E" w14:textId="68FAFB09" w:rsidR="006D4291" w:rsidRPr="006D4291" w:rsidRDefault="006D4291" w:rsidP="006D4291">
            <w:pPr>
              <w:rPr>
                <w:szCs w:val="24"/>
              </w:rPr>
            </w:pPr>
            <w:r w:rsidRPr="006D4291">
              <w:rPr>
                <w:szCs w:val="24"/>
              </w:rPr>
              <w:t>05. Verslo plėtros skatinimo ir užimtumo didinimo programa</w:t>
            </w:r>
          </w:p>
        </w:tc>
        <w:tc>
          <w:tcPr>
            <w:tcW w:w="1417" w:type="dxa"/>
            <w:noWrap/>
            <w:vAlign w:val="center"/>
            <w:hideMark/>
          </w:tcPr>
          <w:p w14:paraId="30028F4D" w14:textId="77777777" w:rsidR="006D4291" w:rsidRPr="006D4291" w:rsidRDefault="006D4291" w:rsidP="006D4291">
            <w:pPr>
              <w:jc w:val="right"/>
              <w:rPr>
                <w:color w:val="000000"/>
                <w:szCs w:val="24"/>
              </w:rPr>
            </w:pPr>
            <w:r w:rsidRPr="006D4291">
              <w:rPr>
                <w:color w:val="000000"/>
                <w:szCs w:val="24"/>
              </w:rPr>
              <w:t>446,1</w:t>
            </w:r>
          </w:p>
        </w:tc>
        <w:tc>
          <w:tcPr>
            <w:tcW w:w="1560" w:type="dxa"/>
            <w:noWrap/>
            <w:vAlign w:val="center"/>
            <w:hideMark/>
          </w:tcPr>
          <w:p w14:paraId="6D4040A1" w14:textId="77777777" w:rsidR="006D4291" w:rsidRPr="006D4291" w:rsidRDefault="006D4291" w:rsidP="006D4291">
            <w:pPr>
              <w:jc w:val="right"/>
              <w:rPr>
                <w:szCs w:val="24"/>
              </w:rPr>
            </w:pPr>
            <w:r w:rsidRPr="006D4291">
              <w:rPr>
                <w:szCs w:val="24"/>
              </w:rPr>
              <w:t>344,1</w:t>
            </w:r>
          </w:p>
        </w:tc>
        <w:tc>
          <w:tcPr>
            <w:tcW w:w="1559" w:type="dxa"/>
            <w:noWrap/>
            <w:vAlign w:val="center"/>
            <w:hideMark/>
          </w:tcPr>
          <w:p w14:paraId="54FC6184" w14:textId="77777777" w:rsidR="006D4291" w:rsidRPr="006D4291" w:rsidRDefault="006D4291" w:rsidP="006D4291">
            <w:pPr>
              <w:jc w:val="right"/>
              <w:rPr>
                <w:szCs w:val="24"/>
              </w:rPr>
            </w:pPr>
            <w:r w:rsidRPr="006D4291">
              <w:rPr>
                <w:szCs w:val="24"/>
              </w:rPr>
              <w:t>77,1</w:t>
            </w:r>
          </w:p>
        </w:tc>
        <w:tc>
          <w:tcPr>
            <w:tcW w:w="1701" w:type="dxa"/>
            <w:noWrap/>
            <w:vAlign w:val="center"/>
            <w:hideMark/>
          </w:tcPr>
          <w:p w14:paraId="7135D6B2" w14:textId="77777777" w:rsidR="006D4291" w:rsidRPr="006D4291" w:rsidRDefault="006D4291" w:rsidP="006D4291">
            <w:pPr>
              <w:jc w:val="right"/>
              <w:rPr>
                <w:szCs w:val="24"/>
              </w:rPr>
            </w:pPr>
            <w:r w:rsidRPr="006D4291">
              <w:rPr>
                <w:szCs w:val="24"/>
              </w:rPr>
              <w:t>102,0</w:t>
            </w:r>
          </w:p>
        </w:tc>
      </w:tr>
      <w:tr w:rsidR="006D4291" w:rsidRPr="006D4291" w14:paraId="4D72B83C" w14:textId="77777777" w:rsidTr="00D801E1">
        <w:trPr>
          <w:trHeight w:val="70"/>
        </w:trPr>
        <w:tc>
          <w:tcPr>
            <w:tcW w:w="3392" w:type="dxa"/>
            <w:vAlign w:val="center"/>
            <w:hideMark/>
          </w:tcPr>
          <w:p w14:paraId="636E1768" w14:textId="0B377AAC" w:rsidR="006D4291" w:rsidRPr="006D4291" w:rsidRDefault="006D4291" w:rsidP="006D4291">
            <w:pPr>
              <w:rPr>
                <w:szCs w:val="24"/>
              </w:rPr>
            </w:pPr>
            <w:r w:rsidRPr="006D4291">
              <w:rPr>
                <w:szCs w:val="24"/>
              </w:rPr>
              <w:t>06. Turizmo vystymo programa</w:t>
            </w:r>
          </w:p>
        </w:tc>
        <w:tc>
          <w:tcPr>
            <w:tcW w:w="1417" w:type="dxa"/>
            <w:noWrap/>
            <w:vAlign w:val="center"/>
            <w:hideMark/>
          </w:tcPr>
          <w:p w14:paraId="1184D75C" w14:textId="77777777" w:rsidR="006D4291" w:rsidRPr="006D4291" w:rsidRDefault="006D4291" w:rsidP="006D4291">
            <w:pPr>
              <w:jc w:val="right"/>
              <w:rPr>
                <w:color w:val="000000"/>
                <w:szCs w:val="24"/>
              </w:rPr>
            </w:pPr>
            <w:r w:rsidRPr="006D4291">
              <w:rPr>
                <w:color w:val="000000"/>
                <w:szCs w:val="24"/>
              </w:rPr>
              <w:t>350,9</w:t>
            </w:r>
          </w:p>
        </w:tc>
        <w:tc>
          <w:tcPr>
            <w:tcW w:w="1560" w:type="dxa"/>
            <w:noWrap/>
            <w:vAlign w:val="center"/>
            <w:hideMark/>
          </w:tcPr>
          <w:p w14:paraId="3046B173" w14:textId="77777777" w:rsidR="006D4291" w:rsidRPr="006D4291" w:rsidRDefault="006D4291" w:rsidP="006D4291">
            <w:pPr>
              <w:jc w:val="right"/>
              <w:rPr>
                <w:szCs w:val="24"/>
              </w:rPr>
            </w:pPr>
            <w:r w:rsidRPr="006D4291">
              <w:rPr>
                <w:szCs w:val="24"/>
              </w:rPr>
              <w:t>177,9</w:t>
            </w:r>
          </w:p>
        </w:tc>
        <w:tc>
          <w:tcPr>
            <w:tcW w:w="1559" w:type="dxa"/>
            <w:noWrap/>
            <w:vAlign w:val="center"/>
            <w:hideMark/>
          </w:tcPr>
          <w:p w14:paraId="23125821" w14:textId="77777777" w:rsidR="006D4291" w:rsidRPr="006D4291" w:rsidRDefault="006D4291" w:rsidP="006D4291">
            <w:pPr>
              <w:jc w:val="right"/>
              <w:rPr>
                <w:szCs w:val="24"/>
              </w:rPr>
            </w:pPr>
            <w:r w:rsidRPr="006D4291">
              <w:rPr>
                <w:szCs w:val="24"/>
              </w:rPr>
              <w:t>50,7</w:t>
            </w:r>
          </w:p>
        </w:tc>
        <w:tc>
          <w:tcPr>
            <w:tcW w:w="1701" w:type="dxa"/>
            <w:noWrap/>
            <w:vAlign w:val="center"/>
            <w:hideMark/>
          </w:tcPr>
          <w:p w14:paraId="11CBAB2E" w14:textId="77777777" w:rsidR="006D4291" w:rsidRPr="006D4291" w:rsidRDefault="006D4291" w:rsidP="006D4291">
            <w:pPr>
              <w:jc w:val="right"/>
              <w:rPr>
                <w:szCs w:val="24"/>
              </w:rPr>
            </w:pPr>
            <w:r w:rsidRPr="006D4291">
              <w:rPr>
                <w:szCs w:val="24"/>
              </w:rPr>
              <w:t>173,0</w:t>
            </w:r>
          </w:p>
        </w:tc>
      </w:tr>
      <w:tr w:rsidR="006D4291" w:rsidRPr="006D4291" w14:paraId="045519C0" w14:textId="77777777" w:rsidTr="00D801E1">
        <w:trPr>
          <w:trHeight w:val="70"/>
        </w:trPr>
        <w:tc>
          <w:tcPr>
            <w:tcW w:w="3392" w:type="dxa"/>
            <w:vAlign w:val="center"/>
            <w:hideMark/>
          </w:tcPr>
          <w:p w14:paraId="7ACE9C07" w14:textId="18AA632D" w:rsidR="006D4291" w:rsidRPr="006D4291" w:rsidRDefault="006D4291" w:rsidP="006D4291">
            <w:pPr>
              <w:rPr>
                <w:szCs w:val="24"/>
              </w:rPr>
            </w:pPr>
            <w:r w:rsidRPr="006D4291">
              <w:rPr>
                <w:szCs w:val="24"/>
              </w:rPr>
              <w:t>07. Kultūros programa</w:t>
            </w:r>
          </w:p>
        </w:tc>
        <w:tc>
          <w:tcPr>
            <w:tcW w:w="1417" w:type="dxa"/>
            <w:noWrap/>
            <w:vAlign w:val="center"/>
            <w:hideMark/>
          </w:tcPr>
          <w:p w14:paraId="6344B260" w14:textId="77777777" w:rsidR="006D4291" w:rsidRPr="006D4291" w:rsidRDefault="006D4291" w:rsidP="006D4291">
            <w:pPr>
              <w:jc w:val="right"/>
              <w:rPr>
                <w:color w:val="000000"/>
                <w:szCs w:val="24"/>
              </w:rPr>
            </w:pPr>
            <w:r w:rsidRPr="006D4291">
              <w:rPr>
                <w:color w:val="000000"/>
                <w:szCs w:val="24"/>
              </w:rPr>
              <w:t>4 109,1</w:t>
            </w:r>
          </w:p>
        </w:tc>
        <w:tc>
          <w:tcPr>
            <w:tcW w:w="1560" w:type="dxa"/>
            <w:noWrap/>
            <w:vAlign w:val="center"/>
            <w:hideMark/>
          </w:tcPr>
          <w:p w14:paraId="5D7BF433" w14:textId="77777777" w:rsidR="006D4291" w:rsidRPr="006D4291" w:rsidRDefault="006D4291" w:rsidP="006D4291">
            <w:pPr>
              <w:jc w:val="right"/>
              <w:rPr>
                <w:szCs w:val="24"/>
              </w:rPr>
            </w:pPr>
            <w:r w:rsidRPr="006D4291">
              <w:rPr>
                <w:szCs w:val="24"/>
              </w:rPr>
              <w:t>4 093,7</w:t>
            </w:r>
          </w:p>
        </w:tc>
        <w:tc>
          <w:tcPr>
            <w:tcW w:w="1559" w:type="dxa"/>
            <w:noWrap/>
            <w:vAlign w:val="center"/>
            <w:hideMark/>
          </w:tcPr>
          <w:p w14:paraId="775434DF" w14:textId="77777777" w:rsidR="006D4291" w:rsidRPr="006D4291" w:rsidRDefault="006D4291" w:rsidP="006D4291">
            <w:pPr>
              <w:jc w:val="right"/>
              <w:rPr>
                <w:szCs w:val="24"/>
              </w:rPr>
            </w:pPr>
            <w:r w:rsidRPr="006D4291">
              <w:rPr>
                <w:szCs w:val="24"/>
              </w:rPr>
              <w:t>99,6</w:t>
            </w:r>
          </w:p>
        </w:tc>
        <w:tc>
          <w:tcPr>
            <w:tcW w:w="1701" w:type="dxa"/>
            <w:noWrap/>
            <w:vAlign w:val="center"/>
            <w:hideMark/>
          </w:tcPr>
          <w:p w14:paraId="747D41E0" w14:textId="77777777" w:rsidR="006D4291" w:rsidRPr="006D4291" w:rsidRDefault="006D4291" w:rsidP="006D4291">
            <w:pPr>
              <w:jc w:val="right"/>
              <w:rPr>
                <w:szCs w:val="24"/>
              </w:rPr>
            </w:pPr>
            <w:r w:rsidRPr="006D4291">
              <w:rPr>
                <w:szCs w:val="24"/>
              </w:rPr>
              <w:t>15,4</w:t>
            </w:r>
          </w:p>
        </w:tc>
      </w:tr>
      <w:tr w:rsidR="006D4291" w:rsidRPr="006D4291" w14:paraId="745BA313" w14:textId="77777777" w:rsidTr="00D801E1">
        <w:trPr>
          <w:trHeight w:val="70"/>
        </w:trPr>
        <w:tc>
          <w:tcPr>
            <w:tcW w:w="3392" w:type="dxa"/>
            <w:vAlign w:val="center"/>
            <w:hideMark/>
          </w:tcPr>
          <w:p w14:paraId="04114559" w14:textId="669BF5F9" w:rsidR="00D801E1" w:rsidRPr="006D4291" w:rsidRDefault="006D4291" w:rsidP="00D801E1">
            <w:pPr>
              <w:rPr>
                <w:szCs w:val="24"/>
              </w:rPr>
            </w:pPr>
            <w:r w:rsidRPr="006D4291">
              <w:rPr>
                <w:szCs w:val="24"/>
              </w:rPr>
              <w:t>08. Viešosios infrastruktūros plėtros bei priežiūros programa</w:t>
            </w:r>
          </w:p>
        </w:tc>
        <w:tc>
          <w:tcPr>
            <w:tcW w:w="1417" w:type="dxa"/>
            <w:noWrap/>
            <w:vAlign w:val="center"/>
            <w:hideMark/>
          </w:tcPr>
          <w:p w14:paraId="259E1604" w14:textId="77777777" w:rsidR="006D4291" w:rsidRPr="006D4291" w:rsidRDefault="006D4291" w:rsidP="006D4291">
            <w:pPr>
              <w:jc w:val="right"/>
              <w:rPr>
                <w:color w:val="000000"/>
                <w:szCs w:val="24"/>
              </w:rPr>
            </w:pPr>
            <w:r w:rsidRPr="006D4291">
              <w:rPr>
                <w:color w:val="000000"/>
                <w:szCs w:val="24"/>
              </w:rPr>
              <w:t>8 309,2</w:t>
            </w:r>
          </w:p>
        </w:tc>
        <w:tc>
          <w:tcPr>
            <w:tcW w:w="1560" w:type="dxa"/>
            <w:noWrap/>
            <w:vAlign w:val="center"/>
            <w:hideMark/>
          </w:tcPr>
          <w:p w14:paraId="3CBF5126" w14:textId="77777777" w:rsidR="006D4291" w:rsidRPr="006D4291" w:rsidRDefault="006D4291" w:rsidP="006D4291">
            <w:pPr>
              <w:jc w:val="right"/>
              <w:rPr>
                <w:szCs w:val="24"/>
              </w:rPr>
            </w:pPr>
            <w:r w:rsidRPr="006D4291">
              <w:rPr>
                <w:szCs w:val="24"/>
              </w:rPr>
              <w:t>6 827,3</w:t>
            </w:r>
          </w:p>
        </w:tc>
        <w:tc>
          <w:tcPr>
            <w:tcW w:w="1559" w:type="dxa"/>
            <w:noWrap/>
            <w:vAlign w:val="center"/>
            <w:hideMark/>
          </w:tcPr>
          <w:p w14:paraId="1298F367" w14:textId="77777777" w:rsidR="006D4291" w:rsidRPr="006D4291" w:rsidRDefault="006D4291" w:rsidP="006D4291">
            <w:pPr>
              <w:jc w:val="right"/>
              <w:rPr>
                <w:szCs w:val="24"/>
              </w:rPr>
            </w:pPr>
            <w:r w:rsidRPr="006D4291">
              <w:rPr>
                <w:szCs w:val="24"/>
              </w:rPr>
              <w:t>82,2</w:t>
            </w:r>
          </w:p>
        </w:tc>
        <w:tc>
          <w:tcPr>
            <w:tcW w:w="1701" w:type="dxa"/>
            <w:noWrap/>
            <w:vAlign w:val="center"/>
            <w:hideMark/>
          </w:tcPr>
          <w:p w14:paraId="10BE6CAB" w14:textId="77777777" w:rsidR="006D4291" w:rsidRPr="006D4291" w:rsidRDefault="006D4291" w:rsidP="006D4291">
            <w:pPr>
              <w:jc w:val="right"/>
              <w:rPr>
                <w:szCs w:val="24"/>
              </w:rPr>
            </w:pPr>
            <w:r w:rsidRPr="006D4291">
              <w:rPr>
                <w:szCs w:val="24"/>
              </w:rPr>
              <w:t>1 481,9</w:t>
            </w:r>
          </w:p>
        </w:tc>
      </w:tr>
      <w:tr w:rsidR="006D4291" w:rsidRPr="006D4291" w14:paraId="479C2925" w14:textId="77777777" w:rsidTr="00D801E1">
        <w:trPr>
          <w:trHeight w:val="70"/>
        </w:trPr>
        <w:tc>
          <w:tcPr>
            <w:tcW w:w="3392" w:type="dxa"/>
            <w:vAlign w:val="center"/>
            <w:hideMark/>
          </w:tcPr>
          <w:p w14:paraId="6A66CCB9" w14:textId="4A3A93F4" w:rsidR="006D4291" w:rsidRPr="006D4291" w:rsidRDefault="006D4291" w:rsidP="006D4291">
            <w:pPr>
              <w:rPr>
                <w:szCs w:val="24"/>
              </w:rPr>
            </w:pPr>
            <w:r w:rsidRPr="006D4291">
              <w:rPr>
                <w:szCs w:val="24"/>
              </w:rPr>
              <w:t>09. Aplinkos apsaugos programa</w:t>
            </w:r>
          </w:p>
        </w:tc>
        <w:tc>
          <w:tcPr>
            <w:tcW w:w="1417" w:type="dxa"/>
            <w:noWrap/>
            <w:vAlign w:val="center"/>
            <w:hideMark/>
          </w:tcPr>
          <w:p w14:paraId="04C8C621" w14:textId="77777777" w:rsidR="006D4291" w:rsidRPr="006D4291" w:rsidRDefault="006D4291" w:rsidP="006D4291">
            <w:pPr>
              <w:jc w:val="right"/>
              <w:rPr>
                <w:color w:val="000000"/>
                <w:szCs w:val="24"/>
              </w:rPr>
            </w:pPr>
            <w:r w:rsidRPr="006D4291">
              <w:rPr>
                <w:color w:val="000000"/>
                <w:szCs w:val="24"/>
              </w:rPr>
              <w:t>2 320,2</w:t>
            </w:r>
          </w:p>
        </w:tc>
        <w:tc>
          <w:tcPr>
            <w:tcW w:w="1560" w:type="dxa"/>
            <w:noWrap/>
            <w:vAlign w:val="center"/>
            <w:hideMark/>
          </w:tcPr>
          <w:p w14:paraId="25658933" w14:textId="77777777" w:rsidR="006D4291" w:rsidRPr="006D4291" w:rsidRDefault="006D4291" w:rsidP="006D4291">
            <w:pPr>
              <w:jc w:val="right"/>
              <w:rPr>
                <w:szCs w:val="24"/>
              </w:rPr>
            </w:pPr>
            <w:r w:rsidRPr="006D4291">
              <w:rPr>
                <w:szCs w:val="24"/>
              </w:rPr>
              <w:t>1 933,5</w:t>
            </w:r>
          </w:p>
        </w:tc>
        <w:tc>
          <w:tcPr>
            <w:tcW w:w="1559" w:type="dxa"/>
            <w:noWrap/>
            <w:vAlign w:val="center"/>
            <w:hideMark/>
          </w:tcPr>
          <w:p w14:paraId="434D3F9F" w14:textId="77777777" w:rsidR="006D4291" w:rsidRPr="006D4291" w:rsidRDefault="006D4291" w:rsidP="006D4291">
            <w:pPr>
              <w:jc w:val="right"/>
              <w:rPr>
                <w:szCs w:val="24"/>
              </w:rPr>
            </w:pPr>
            <w:r w:rsidRPr="006D4291">
              <w:rPr>
                <w:szCs w:val="24"/>
              </w:rPr>
              <w:t>83,3</w:t>
            </w:r>
          </w:p>
        </w:tc>
        <w:tc>
          <w:tcPr>
            <w:tcW w:w="1701" w:type="dxa"/>
            <w:noWrap/>
            <w:vAlign w:val="center"/>
            <w:hideMark/>
          </w:tcPr>
          <w:p w14:paraId="058E854A" w14:textId="77777777" w:rsidR="006D4291" w:rsidRPr="006D4291" w:rsidRDefault="006D4291" w:rsidP="006D4291">
            <w:pPr>
              <w:jc w:val="right"/>
              <w:rPr>
                <w:szCs w:val="24"/>
              </w:rPr>
            </w:pPr>
            <w:r w:rsidRPr="006D4291">
              <w:rPr>
                <w:szCs w:val="24"/>
              </w:rPr>
              <w:t>386,7</w:t>
            </w:r>
          </w:p>
        </w:tc>
      </w:tr>
      <w:tr w:rsidR="006D4291" w:rsidRPr="006D4291" w14:paraId="31BA83B2" w14:textId="77777777" w:rsidTr="00D801E1">
        <w:trPr>
          <w:trHeight w:val="145"/>
        </w:trPr>
        <w:tc>
          <w:tcPr>
            <w:tcW w:w="3392" w:type="dxa"/>
            <w:vAlign w:val="center"/>
            <w:hideMark/>
          </w:tcPr>
          <w:p w14:paraId="47D90FFD" w14:textId="072A9826" w:rsidR="006D4291" w:rsidRPr="006D4291" w:rsidRDefault="006D4291" w:rsidP="006D4291">
            <w:pPr>
              <w:rPr>
                <w:szCs w:val="24"/>
              </w:rPr>
            </w:pPr>
            <w:r w:rsidRPr="006D4291">
              <w:rPr>
                <w:szCs w:val="24"/>
              </w:rPr>
              <w:lastRenderedPageBreak/>
              <w:t>10. Savivaldybės valdymo programa</w:t>
            </w:r>
          </w:p>
        </w:tc>
        <w:tc>
          <w:tcPr>
            <w:tcW w:w="1417" w:type="dxa"/>
            <w:noWrap/>
            <w:vAlign w:val="center"/>
            <w:hideMark/>
          </w:tcPr>
          <w:p w14:paraId="6D4749B4" w14:textId="77777777" w:rsidR="006D4291" w:rsidRPr="006D4291" w:rsidRDefault="006D4291" w:rsidP="006D4291">
            <w:pPr>
              <w:jc w:val="right"/>
              <w:rPr>
                <w:color w:val="000000"/>
                <w:szCs w:val="24"/>
              </w:rPr>
            </w:pPr>
            <w:r w:rsidRPr="006D4291">
              <w:rPr>
                <w:color w:val="000000"/>
                <w:szCs w:val="24"/>
              </w:rPr>
              <w:t>6 826,9</w:t>
            </w:r>
          </w:p>
        </w:tc>
        <w:tc>
          <w:tcPr>
            <w:tcW w:w="1560" w:type="dxa"/>
            <w:noWrap/>
            <w:vAlign w:val="center"/>
            <w:hideMark/>
          </w:tcPr>
          <w:p w14:paraId="62E374B3" w14:textId="77777777" w:rsidR="006D4291" w:rsidRPr="006D4291" w:rsidRDefault="006D4291" w:rsidP="006D4291">
            <w:pPr>
              <w:jc w:val="right"/>
              <w:rPr>
                <w:szCs w:val="24"/>
              </w:rPr>
            </w:pPr>
            <w:r w:rsidRPr="006D4291">
              <w:rPr>
                <w:szCs w:val="24"/>
              </w:rPr>
              <w:t>6 611,4</w:t>
            </w:r>
          </w:p>
        </w:tc>
        <w:tc>
          <w:tcPr>
            <w:tcW w:w="1559" w:type="dxa"/>
            <w:noWrap/>
            <w:vAlign w:val="center"/>
            <w:hideMark/>
          </w:tcPr>
          <w:p w14:paraId="4B00F009" w14:textId="77777777" w:rsidR="006D4291" w:rsidRPr="006D4291" w:rsidRDefault="006D4291" w:rsidP="006D4291">
            <w:pPr>
              <w:jc w:val="right"/>
              <w:rPr>
                <w:szCs w:val="24"/>
              </w:rPr>
            </w:pPr>
            <w:r w:rsidRPr="006D4291">
              <w:rPr>
                <w:szCs w:val="24"/>
              </w:rPr>
              <w:t>96,8</w:t>
            </w:r>
          </w:p>
        </w:tc>
        <w:tc>
          <w:tcPr>
            <w:tcW w:w="1701" w:type="dxa"/>
            <w:noWrap/>
            <w:vAlign w:val="center"/>
            <w:hideMark/>
          </w:tcPr>
          <w:p w14:paraId="7E057084" w14:textId="77777777" w:rsidR="006D4291" w:rsidRPr="006D4291" w:rsidRDefault="006D4291" w:rsidP="006D4291">
            <w:pPr>
              <w:jc w:val="right"/>
              <w:rPr>
                <w:szCs w:val="24"/>
              </w:rPr>
            </w:pPr>
            <w:r w:rsidRPr="006D4291">
              <w:rPr>
                <w:szCs w:val="24"/>
              </w:rPr>
              <w:t>215,5</w:t>
            </w:r>
          </w:p>
        </w:tc>
      </w:tr>
      <w:tr w:rsidR="006D4291" w:rsidRPr="006D4291" w14:paraId="17D32701" w14:textId="77777777" w:rsidTr="00D801E1">
        <w:trPr>
          <w:trHeight w:val="166"/>
        </w:trPr>
        <w:tc>
          <w:tcPr>
            <w:tcW w:w="3392" w:type="dxa"/>
            <w:shd w:val="clear" w:color="auto" w:fill="C6D9F1" w:themeFill="text2" w:themeFillTint="33"/>
            <w:noWrap/>
            <w:vAlign w:val="center"/>
            <w:hideMark/>
          </w:tcPr>
          <w:p w14:paraId="5028FF50" w14:textId="77777777" w:rsidR="006D4291" w:rsidRPr="006D4291" w:rsidRDefault="006D4291" w:rsidP="00A27222">
            <w:pPr>
              <w:jc w:val="right"/>
              <w:rPr>
                <w:b/>
                <w:bCs/>
                <w:szCs w:val="24"/>
              </w:rPr>
            </w:pPr>
            <w:r w:rsidRPr="006D4291">
              <w:rPr>
                <w:b/>
                <w:bCs/>
                <w:szCs w:val="24"/>
              </w:rPr>
              <w:t>Iš viso:</w:t>
            </w:r>
          </w:p>
        </w:tc>
        <w:tc>
          <w:tcPr>
            <w:tcW w:w="1417" w:type="dxa"/>
            <w:shd w:val="clear" w:color="auto" w:fill="C6D9F1" w:themeFill="text2" w:themeFillTint="33"/>
            <w:noWrap/>
            <w:vAlign w:val="center"/>
            <w:hideMark/>
          </w:tcPr>
          <w:p w14:paraId="4FD77D7F" w14:textId="77777777" w:rsidR="006D4291" w:rsidRPr="006D4291" w:rsidRDefault="006D4291" w:rsidP="00A27222">
            <w:pPr>
              <w:jc w:val="right"/>
              <w:rPr>
                <w:b/>
                <w:bCs/>
                <w:szCs w:val="24"/>
              </w:rPr>
            </w:pPr>
            <w:r w:rsidRPr="006D4291">
              <w:rPr>
                <w:b/>
                <w:bCs/>
                <w:szCs w:val="24"/>
              </w:rPr>
              <w:t>56 941,1</w:t>
            </w:r>
          </w:p>
        </w:tc>
        <w:tc>
          <w:tcPr>
            <w:tcW w:w="1560" w:type="dxa"/>
            <w:shd w:val="clear" w:color="auto" w:fill="C6D9F1" w:themeFill="text2" w:themeFillTint="33"/>
            <w:noWrap/>
            <w:vAlign w:val="center"/>
            <w:hideMark/>
          </w:tcPr>
          <w:p w14:paraId="18F65E63" w14:textId="77777777" w:rsidR="006D4291" w:rsidRPr="006D4291" w:rsidRDefault="006D4291" w:rsidP="00A27222">
            <w:pPr>
              <w:jc w:val="right"/>
              <w:rPr>
                <w:b/>
                <w:bCs/>
                <w:szCs w:val="24"/>
              </w:rPr>
            </w:pPr>
            <w:r w:rsidRPr="006D4291">
              <w:rPr>
                <w:b/>
                <w:bCs/>
                <w:szCs w:val="24"/>
              </w:rPr>
              <w:t>53 517,3</w:t>
            </w:r>
          </w:p>
        </w:tc>
        <w:tc>
          <w:tcPr>
            <w:tcW w:w="1559" w:type="dxa"/>
            <w:shd w:val="clear" w:color="auto" w:fill="C6D9F1" w:themeFill="text2" w:themeFillTint="33"/>
            <w:noWrap/>
            <w:vAlign w:val="center"/>
            <w:hideMark/>
          </w:tcPr>
          <w:p w14:paraId="3E8FA8FF" w14:textId="77777777" w:rsidR="006D4291" w:rsidRPr="006D4291" w:rsidRDefault="006D4291" w:rsidP="00A27222">
            <w:pPr>
              <w:jc w:val="right"/>
              <w:rPr>
                <w:b/>
                <w:bCs/>
                <w:szCs w:val="24"/>
              </w:rPr>
            </w:pPr>
            <w:r w:rsidRPr="006D4291">
              <w:rPr>
                <w:b/>
                <w:bCs/>
                <w:szCs w:val="24"/>
              </w:rPr>
              <w:t>94,0</w:t>
            </w:r>
          </w:p>
        </w:tc>
        <w:tc>
          <w:tcPr>
            <w:tcW w:w="1701" w:type="dxa"/>
            <w:shd w:val="clear" w:color="auto" w:fill="C6D9F1" w:themeFill="text2" w:themeFillTint="33"/>
            <w:noWrap/>
            <w:vAlign w:val="center"/>
            <w:hideMark/>
          </w:tcPr>
          <w:p w14:paraId="28531ED9" w14:textId="77777777" w:rsidR="006D4291" w:rsidRPr="006D4291" w:rsidRDefault="006D4291" w:rsidP="00A27222">
            <w:pPr>
              <w:jc w:val="right"/>
              <w:rPr>
                <w:b/>
                <w:bCs/>
                <w:szCs w:val="24"/>
              </w:rPr>
            </w:pPr>
            <w:r w:rsidRPr="006D4291">
              <w:rPr>
                <w:b/>
                <w:bCs/>
                <w:szCs w:val="24"/>
              </w:rPr>
              <w:t>3 423,8</w:t>
            </w:r>
          </w:p>
        </w:tc>
      </w:tr>
      <w:tr w:rsidR="006D4291" w:rsidRPr="006D4291" w14:paraId="4636660B" w14:textId="77777777" w:rsidTr="00D801E1">
        <w:trPr>
          <w:trHeight w:val="143"/>
        </w:trPr>
        <w:tc>
          <w:tcPr>
            <w:tcW w:w="3392" w:type="dxa"/>
            <w:vAlign w:val="center"/>
            <w:hideMark/>
          </w:tcPr>
          <w:p w14:paraId="07D0A739" w14:textId="77777777" w:rsidR="006D4291" w:rsidRPr="006D4291" w:rsidRDefault="006D4291" w:rsidP="00A27222">
            <w:pPr>
              <w:jc w:val="right"/>
              <w:rPr>
                <w:i/>
                <w:iCs/>
                <w:szCs w:val="24"/>
              </w:rPr>
            </w:pPr>
            <w:r w:rsidRPr="006D4291">
              <w:rPr>
                <w:i/>
                <w:iCs/>
                <w:szCs w:val="24"/>
              </w:rPr>
              <w:t>iš jų finansinių įsipareigojimų vykdymas (paskolų grąžinimas)</w:t>
            </w:r>
          </w:p>
        </w:tc>
        <w:tc>
          <w:tcPr>
            <w:tcW w:w="1417" w:type="dxa"/>
            <w:noWrap/>
            <w:vAlign w:val="center"/>
            <w:hideMark/>
          </w:tcPr>
          <w:p w14:paraId="6AABE2A9" w14:textId="77777777" w:rsidR="006D4291" w:rsidRPr="006D4291" w:rsidRDefault="006D4291" w:rsidP="00A27222">
            <w:pPr>
              <w:jc w:val="right"/>
              <w:rPr>
                <w:i/>
                <w:iCs/>
                <w:szCs w:val="24"/>
              </w:rPr>
            </w:pPr>
            <w:r w:rsidRPr="006D4291">
              <w:rPr>
                <w:i/>
                <w:iCs/>
                <w:szCs w:val="24"/>
              </w:rPr>
              <w:t>912,1</w:t>
            </w:r>
          </w:p>
        </w:tc>
        <w:tc>
          <w:tcPr>
            <w:tcW w:w="1560" w:type="dxa"/>
            <w:noWrap/>
            <w:vAlign w:val="center"/>
            <w:hideMark/>
          </w:tcPr>
          <w:p w14:paraId="5F236CFF" w14:textId="77777777" w:rsidR="006D4291" w:rsidRPr="006D4291" w:rsidRDefault="006D4291" w:rsidP="00A27222">
            <w:pPr>
              <w:jc w:val="right"/>
              <w:rPr>
                <w:i/>
                <w:iCs/>
                <w:szCs w:val="24"/>
              </w:rPr>
            </w:pPr>
            <w:r w:rsidRPr="006D4291">
              <w:rPr>
                <w:i/>
                <w:iCs/>
                <w:szCs w:val="24"/>
              </w:rPr>
              <w:t>912,0</w:t>
            </w:r>
          </w:p>
        </w:tc>
        <w:tc>
          <w:tcPr>
            <w:tcW w:w="1559" w:type="dxa"/>
            <w:noWrap/>
            <w:vAlign w:val="center"/>
            <w:hideMark/>
          </w:tcPr>
          <w:p w14:paraId="6D195949" w14:textId="77777777" w:rsidR="006D4291" w:rsidRPr="007C6856" w:rsidRDefault="006D4291" w:rsidP="00A27222">
            <w:pPr>
              <w:jc w:val="right"/>
              <w:rPr>
                <w:i/>
                <w:iCs/>
                <w:szCs w:val="24"/>
              </w:rPr>
            </w:pPr>
            <w:r w:rsidRPr="007C6856">
              <w:rPr>
                <w:i/>
                <w:iCs/>
                <w:szCs w:val="24"/>
              </w:rPr>
              <w:t>100,0</w:t>
            </w:r>
          </w:p>
        </w:tc>
        <w:tc>
          <w:tcPr>
            <w:tcW w:w="1701" w:type="dxa"/>
            <w:noWrap/>
            <w:vAlign w:val="center"/>
            <w:hideMark/>
          </w:tcPr>
          <w:p w14:paraId="00833FE2" w14:textId="77777777" w:rsidR="006D4291" w:rsidRPr="007C6856" w:rsidRDefault="006D4291" w:rsidP="00A27222">
            <w:pPr>
              <w:jc w:val="right"/>
              <w:rPr>
                <w:i/>
                <w:iCs/>
                <w:szCs w:val="24"/>
              </w:rPr>
            </w:pPr>
            <w:r w:rsidRPr="007C6856">
              <w:rPr>
                <w:i/>
                <w:iCs/>
                <w:szCs w:val="24"/>
              </w:rPr>
              <w:t>0,1</w:t>
            </w:r>
          </w:p>
        </w:tc>
      </w:tr>
      <w:tr w:rsidR="006D4291" w:rsidRPr="006D4291" w14:paraId="4EF06B18" w14:textId="77777777" w:rsidTr="00D801E1">
        <w:trPr>
          <w:trHeight w:val="792"/>
        </w:trPr>
        <w:tc>
          <w:tcPr>
            <w:tcW w:w="3392" w:type="dxa"/>
            <w:vAlign w:val="center"/>
            <w:hideMark/>
          </w:tcPr>
          <w:p w14:paraId="77B725C0" w14:textId="7F810994" w:rsidR="006D4291" w:rsidRPr="006D4291" w:rsidRDefault="006D4291" w:rsidP="00A27222">
            <w:pPr>
              <w:jc w:val="right"/>
              <w:rPr>
                <w:b/>
                <w:bCs/>
                <w:szCs w:val="24"/>
              </w:rPr>
            </w:pPr>
            <w:r w:rsidRPr="006D4291">
              <w:rPr>
                <w:b/>
                <w:bCs/>
                <w:szCs w:val="24"/>
              </w:rPr>
              <w:t>Asignavimai be finansinių įsipareigojimų vykdymo (paskolų grąžinimo)</w:t>
            </w:r>
          </w:p>
        </w:tc>
        <w:tc>
          <w:tcPr>
            <w:tcW w:w="1417" w:type="dxa"/>
            <w:noWrap/>
            <w:vAlign w:val="center"/>
            <w:hideMark/>
          </w:tcPr>
          <w:p w14:paraId="4830275E" w14:textId="77777777" w:rsidR="006D4291" w:rsidRPr="006D4291" w:rsidRDefault="006D4291" w:rsidP="00A27222">
            <w:pPr>
              <w:jc w:val="right"/>
              <w:rPr>
                <w:b/>
                <w:bCs/>
                <w:szCs w:val="24"/>
              </w:rPr>
            </w:pPr>
            <w:r w:rsidRPr="006D4291">
              <w:rPr>
                <w:b/>
                <w:bCs/>
                <w:szCs w:val="24"/>
              </w:rPr>
              <w:t>56 029,0</w:t>
            </w:r>
          </w:p>
        </w:tc>
        <w:tc>
          <w:tcPr>
            <w:tcW w:w="1560" w:type="dxa"/>
            <w:noWrap/>
            <w:vAlign w:val="center"/>
            <w:hideMark/>
          </w:tcPr>
          <w:p w14:paraId="7A631B49" w14:textId="77777777" w:rsidR="006D4291" w:rsidRPr="006D4291" w:rsidRDefault="006D4291" w:rsidP="00A27222">
            <w:pPr>
              <w:jc w:val="right"/>
              <w:rPr>
                <w:b/>
                <w:bCs/>
                <w:szCs w:val="24"/>
              </w:rPr>
            </w:pPr>
            <w:r w:rsidRPr="006D4291">
              <w:rPr>
                <w:b/>
                <w:bCs/>
                <w:szCs w:val="24"/>
              </w:rPr>
              <w:t>52 605,3</w:t>
            </w:r>
          </w:p>
        </w:tc>
        <w:tc>
          <w:tcPr>
            <w:tcW w:w="1559" w:type="dxa"/>
            <w:noWrap/>
            <w:vAlign w:val="center"/>
            <w:hideMark/>
          </w:tcPr>
          <w:p w14:paraId="471AAD11" w14:textId="77777777" w:rsidR="006D4291" w:rsidRPr="006D4291" w:rsidRDefault="006D4291" w:rsidP="00A27222">
            <w:pPr>
              <w:jc w:val="right"/>
              <w:rPr>
                <w:b/>
                <w:bCs/>
                <w:szCs w:val="24"/>
              </w:rPr>
            </w:pPr>
            <w:r w:rsidRPr="006D4291">
              <w:rPr>
                <w:b/>
                <w:bCs/>
                <w:szCs w:val="24"/>
              </w:rPr>
              <w:t>93,9</w:t>
            </w:r>
          </w:p>
        </w:tc>
        <w:tc>
          <w:tcPr>
            <w:tcW w:w="1701" w:type="dxa"/>
            <w:noWrap/>
            <w:vAlign w:val="center"/>
            <w:hideMark/>
          </w:tcPr>
          <w:p w14:paraId="656E2E3B" w14:textId="77777777" w:rsidR="006D4291" w:rsidRPr="006D4291" w:rsidRDefault="006D4291" w:rsidP="00A27222">
            <w:pPr>
              <w:jc w:val="right"/>
              <w:rPr>
                <w:b/>
                <w:bCs/>
                <w:szCs w:val="24"/>
              </w:rPr>
            </w:pPr>
            <w:r w:rsidRPr="006D4291">
              <w:rPr>
                <w:b/>
                <w:bCs/>
                <w:szCs w:val="24"/>
              </w:rPr>
              <w:t>3 423,7</w:t>
            </w:r>
          </w:p>
        </w:tc>
      </w:tr>
    </w:tbl>
    <w:p w14:paraId="5B8460E1" w14:textId="77777777" w:rsidR="00A27222" w:rsidRDefault="00A27222" w:rsidP="0086440C">
      <w:pPr>
        <w:spacing w:line="360" w:lineRule="auto"/>
        <w:jc w:val="center"/>
      </w:pPr>
    </w:p>
    <w:p w14:paraId="1ADEA6E1" w14:textId="04A68B65" w:rsidR="00A27222" w:rsidRDefault="0086440C" w:rsidP="000A5656">
      <w:pPr>
        <w:jc w:val="center"/>
      </w:pPr>
      <w:r>
        <w:rPr>
          <w:noProof/>
        </w:rPr>
        <w:drawing>
          <wp:inline distT="0" distB="0" distL="0" distR="0" wp14:anchorId="135E0C21" wp14:editId="51AC0561">
            <wp:extent cx="6097270" cy="3303855"/>
            <wp:effectExtent l="0" t="0" r="0" b="0"/>
            <wp:docPr id="115833578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2714" cy="3312223"/>
                    </a:xfrm>
                    <a:prstGeom prst="rect">
                      <a:avLst/>
                    </a:prstGeom>
                    <a:noFill/>
                  </pic:spPr>
                </pic:pic>
              </a:graphicData>
            </a:graphic>
          </wp:inline>
        </w:drawing>
      </w:r>
    </w:p>
    <w:p w14:paraId="5D632A95" w14:textId="3B477BEC" w:rsidR="00D82D99" w:rsidRDefault="00D12B1F" w:rsidP="00D12B1F">
      <w:pPr>
        <w:tabs>
          <w:tab w:val="left" w:pos="540"/>
        </w:tabs>
        <w:jc w:val="center"/>
        <w:rPr>
          <w:i/>
          <w:sz w:val="22"/>
          <w:szCs w:val="22"/>
        </w:rPr>
      </w:pPr>
      <w:r w:rsidRPr="00580643">
        <w:rPr>
          <w:i/>
          <w:sz w:val="22"/>
          <w:szCs w:val="22"/>
        </w:rPr>
        <w:t xml:space="preserve">Panaudotų Savivaldybės biudžeto </w:t>
      </w:r>
      <w:r w:rsidR="00863CE8" w:rsidRPr="00580643">
        <w:rPr>
          <w:i/>
          <w:sz w:val="22"/>
          <w:szCs w:val="22"/>
        </w:rPr>
        <w:t>202</w:t>
      </w:r>
      <w:r w:rsidR="00863CE8">
        <w:rPr>
          <w:i/>
          <w:sz w:val="22"/>
          <w:szCs w:val="22"/>
        </w:rPr>
        <w:t>5</w:t>
      </w:r>
      <w:r w:rsidR="00863CE8" w:rsidRPr="00580643">
        <w:rPr>
          <w:i/>
          <w:sz w:val="22"/>
          <w:szCs w:val="22"/>
        </w:rPr>
        <w:t xml:space="preserve"> m</w:t>
      </w:r>
      <w:r w:rsidR="0086440C">
        <w:rPr>
          <w:i/>
          <w:sz w:val="22"/>
          <w:szCs w:val="22"/>
        </w:rPr>
        <w:t>etų</w:t>
      </w:r>
      <w:r w:rsidR="00863CE8" w:rsidRPr="00580643">
        <w:rPr>
          <w:i/>
          <w:sz w:val="22"/>
          <w:szCs w:val="22"/>
        </w:rPr>
        <w:t xml:space="preserve"> </w:t>
      </w:r>
      <w:r w:rsidRPr="00580643">
        <w:rPr>
          <w:i/>
          <w:sz w:val="22"/>
          <w:szCs w:val="22"/>
        </w:rPr>
        <w:t>asignavimų struktūra pagal programas, proc.</w:t>
      </w:r>
    </w:p>
    <w:p w14:paraId="3F68E893" w14:textId="77777777" w:rsidR="00D12B1F" w:rsidRDefault="00D12B1F" w:rsidP="00D12B1F">
      <w:pPr>
        <w:tabs>
          <w:tab w:val="left" w:pos="540"/>
        </w:tabs>
        <w:jc w:val="center"/>
        <w:rPr>
          <w:i/>
          <w:sz w:val="22"/>
          <w:szCs w:val="22"/>
        </w:rPr>
      </w:pPr>
    </w:p>
    <w:p w14:paraId="5130834F" w14:textId="77777777" w:rsidR="00D12B1F" w:rsidRDefault="00D12B1F" w:rsidP="00D12B1F">
      <w:pPr>
        <w:tabs>
          <w:tab w:val="left" w:pos="540"/>
        </w:tabs>
        <w:jc w:val="center"/>
        <w:rPr>
          <w:i/>
          <w:sz w:val="22"/>
          <w:szCs w:val="22"/>
        </w:rPr>
      </w:pPr>
    </w:p>
    <w:p w14:paraId="1EE9F40F" w14:textId="103B3B58" w:rsidR="00AB7A95" w:rsidRPr="000A5656" w:rsidRDefault="00AB7A95" w:rsidP="00AB7A95">
      <w:pPr>
        <w:spacing w:line="360" w:lineRule="auto"/>
        <w:ind w:firstLine="709"/>
        <w:jc w:val="both"/>
        <w:rPr>
          <w:b/>
          <w:bCs/>
          <w:i/>
        </w:rPr>
      </w:pPr>
      <w:r w:rsidRPr="000A5656">
        <w:rPr>
          <w:b/>
          <w:bCs/>
          <w:i/>
        </w:rPr>
        <w:t>ŠVIETIMO PROGRAMA</w:t>
      </w:r>
    </w:p>
    <w:p w14:paraId="1044B3B3" w14:textId="08B52E7D" w:rsidR="00AB7A95" w:rsidRPr="006E593C" w:rsidRDefault="00AB7A95" w:rsidP="00AB7A95">
      <w:pPr>
        <w:spacing w:line="360" w:lineRule="auto"/>
        <w:ind w:firstLine="709"/>
        <w:jc w:val="both"/>
      </w:pPr>
      <w:r w:rsidRPr="006E593C">
        <w:t>202</w:t>
      </w:r>
      <w:r w:rsidR="006E593C" w:rsidRPr="006E593C">
        <w:t>5</w:t>
      </w:r>
      <w:r w:rsidRPr="006E593C">
        <w:t xml:space="preserve"> metais Švietimo programai buvo suplanuota </w:t>
      </w:r>
      <w:r w:rsidR="006E593C" w:rsidRPr="006E593C">
        <w:t>18 172,3</w:t>
      </w:r>
      <w:r w:rsidRPr="006E593C">
        <w:t xml:space="preserve"> tūkst. Eur, panaudota – </w:t>
      </w:r>
      <w:r w:rsidR="006E593C" w:rsidRPr="006E593C">
        <w:t>17 789,5</w:t>
      </w:r>
      <w:r w:rsidRPr="006E593C">
        <w:t xml:space="preserve"> tūkst. Eur, t. y. 33,</w:t>
      </w:r>
      <w:r w:rsidR="006E593C" w:rsidRPr="006E593C">
        <w:t>2</w:t>
      </w:r>
      <w:r w:rsidRPr="006E593C">
        <w:t xml:space="preserve"> proc. visų biudžeto išlaidų. 202</w:t>
      </w:r>
      <w:r w:rsidR="006E593C" w:rsidRPr="006E593C">
        <w:t>5</w:t>
      </w:r>
      <w:r w:rsidRPr="006E593C">
        <w:t xml:space="preserve"> m. išleista </w:t>
      </w:r>
      <w:r w:rsidR="006E593C" w:rsidRPr="006E593C">
        <w:t>382,8</w:t>
      </w:r>
      <w:r w:rsidRPr="006E593C">
        <w:t xml:space="preserve"> tūkst. Eur mažiau, negu planuota.</w:t>
      </w:r>
    </w:p>
    <w:p w14:paraId="36AEA21C" w14:textId="37200D04" w:rsidR="00AB7A95" w:rsidRPr="00E550CE" w:rsidRDefault="00AB7A95" w:rsidP="00AB7A95">
      <w:pPr>
        <w:spacing w:line="360" w:lineRule="auto"/>
        <w:ind w:firstLine="709"/>
        <w:jc w:val="both"/>
      </w:pPr>
      <w:r w:rsidRPr="00E550CE">
        <w:t xml:space="preserve">Dėl pedagoginių darbuotojų laikino nedarbingumo nepanaudota </w:t>
      </w:r>
      <w:r w:rsidR="00E550CE" w:rsidRPr="00E550CE">
        <w:t>2</w:t>
      </w:r>
      <w:r w:rsidRPr="00E550CE">
        <w:t>,4 tūkst. Eur ugdymo lėšų.  Nepanaudotos lėšos iki 202</w:t>
      </w:r>
      <w:r w:rsidR="00E550CE" w:rsidRPr="00E550CE">
        <w:t>5</w:t>
      </w:r>
      <w:r w:rsidRPr="00E550CE">
        <w:t xml:space="preserve"> m. gruodžio 31 d. grąžintos į valstybės biudžetą.</w:t>
      </w:r>
    </w:p>
    <w:p w14:paraId="648DDBF8" w14:textId="4F67F4C7" w:rsidR="00AB7A95" w:rsidRPr="00C13725" w:rsidRDefault="00AB7A95" w:rsidP="00AB7A95">
      <w:pPr>
        <w:spacing w:line="360" w:lineRule="auto"/>
        <w:ind w:firstLine="709"/>
        <w:jc w:val="both"/>
      </w:pPr>
      <w:r w:rsidRPr="00C13725">
        <w:t xml:space="preserve">Biudžetinių įstaigų pajamų už teikiamas paslaugas panaudota </w:t>
      </w:r>
      <w:r w:rsidR="00C13725" w:rsidRPr="00C13725">
        <w:t>45,0</w:t>
      </w:r>
      <w:r w:rsidRPr="00C13725">
        <w:t xml:space="preserve"> tūkst. Eur mažiau, negu planuota, kadangi sąskaitos už 202</w:t>
      </w:r>
      <w:r w:rsidR="00C13725" w:rsidRPr="00C13725">
        <w:t>5</w:t>
      </w:r>
      <w:r w:rsidRPr="00C13725">
        <w:t xml:space="preserve"> m. gruodžio mėn. suteiktas paslaugas apmokėtos po ataskaitinio laikotarpio pabaigos, t. y. 202</w:t>
      </w:r>
      <w:r w:rsidR="00C13725" w:rsidRPr="00C13725">
        <w:t>6</w:t>
      </w:r>
      <w:r w:rsidRPr="00C13725">
        <w:t xml:space="preserve"> m. sausio mėn. Dalis nepanaudotų biudžetinių įstaigų pajamų grąžintos įstaigoms 202</w:t>
      </w:r>
      <w:r w:rsidR="00C13725" w:rsidRPr="00C13725">
        <w:t>6</w:t>
      </w:r>
      <w:r w:rsidRPr="00C13725">
        <w:t xml:space="preserve"> metais.</w:t>
      </w:r>
    </w:p>
    <w:p w14:paraId="313CA418" w14:textId="18E64219" w:rsidR="00AB7A95" w:rsidRPr="00156466" w:rsidRDefault="00AB7A95" w:rsidP="00AB7A95">
      <w:pPr>
        <w:spacing w:line="360" w:lineRule="auto"/>
        <w:ind w:firstLine="709"/>
        <w:jc w:val="both"/>
      </w:pPr>
      <w:bookmarkStart w:id="1" w:name="_Hlk126057760"/>
      <w:r w:rsidRPr="00C13725">
        <w:lastRenderedPageBreak/>
        <w:t xml:space="preserve">Didžiausią nepanaudotų asignavimų dalį Švietimo programoje sudaro Savivaldybės biudžeto lėšos savarankiškosioms funkcijoms finansuoti – </w:t>
      </w:r>
      <w:r w:rsidR="00C13725" w:rsidRPr="00C13725">
        <w:t>334,1</w:t>
      </w:r>
      <w:r w:rsidRPr="00C13725">
        <w:t xml:space="preserve"> tūkst. Eur</w:t>
      </w:r>
      <w:bookmarkEnd w:id="1"/>
      <w:r w:rsidRPr="00C13725">
        <w:t xml:space="preserve">. Dėl darbuotojų laikino nedarbingumo, neužimtų pareigybių bei iš valstybės biudžeto papildomai gautų lėšų profesiniam orientavimui, ukrainiečių vaikų ugdymui ir pavėžėjimui į mokyklą ir atgal, socialinę riziką patiriančių vaikų ugdymui buvo sutaupyta </w:t>
      </w:r>
      <w:r w:rsidR="00C13725" w:rsidRPr="00C13725">
        <w:t>62,9</w:t>
      </w:r>
      <w:r w:rsidRPr="00C13725">
        <w:t xml:space="preserve"> tūkst. Eur Savivaldybės biudžeto lėšų darbo užmokesčiui ir </w:t>
      </w:r>
      <w:r w:rsidRPr="00FC52C3">
        <w:t xml:space="preserve">socialinio draudimo įmokoms. </w:t>
      </w:r>
      <w:r w:rsidR="00FC52C3" w:rsidRPr="00FC52C3">
        <w:t>6,6</w:t>
      </w:r>
      <w:r w:rsidRPr="00FC52C3">
        <w:t xml:space="preserve"> tūkst. Eur sumažėjo patalpų šildymo ir elektros energijos išlaidos, </w:t>
      </w:r>
      <w:r w:rsidR="00FC52C3" w:rsidRPr="00FC52C3">
        <w:t xml:space="preserve">2,2 </w:t>
      </w:r>
      <w:r w:rsidRPr="00FC52C3">
        <w:t xml:space="preserve"> tūkst. Eur išleista mažiau, negu planuota, kitoms prekėms ir paslaugoms, </w:t>
      </w:r>
      <w:r w:rsidR="00FC52C3" w:rsidRPr="00FC52C3">
        <w:t>19,3</w:t>
      </w:r>
      <w:r w:rsidRPr="00FC52C3">
        <w:t xml:space="preserve">  tūkst. Eur – kitoms </w:t>
      </w:r>
      <w:r w:rsidRPr="00156466">
        <w:t>išlaidoms.</w:t>
      </w:r>
    </w:p>
    <w:p w14:paraId="7E6FEEE0" w14:textId="13865EE7" w:rsidR="00AB7A95" w:rsidRPr="00821CE1" w:rsidRDefault="00AB7A95" w:rsidP="00AB7A95">
      <w:pPr>
        <w:spacing w:line="360" w:lineRule="auto"/>
        <w:ind w:firstLine="709"/>
        <w:jc w:val="both"/>
      </w:pPr>
      <w:r w:rsidRPr="00156466">
        <w:t>Dėl užsitęsusi</w:t>
      </w:r>
      <w:r w:rsidR="00FC7C1D" w:rsidRPr="00156466">
        <w:t>ų</w:t>
      </w:r>
      <w:r w:rsidRPr="00156466">
        <w:t xml:space="preserve"> </w:t>
      </w:r>
      <w:r w:rsidR="00A70573" w:rsidRPr="00156466">
        <w:t xml:space="preserve">projektavimo </w:t>
      </w:r>
      <w:r w:rsidR="00821CE1" w:rsidRPr="00156466">
        <w:t>darbų</w:t>
      </w:r>
      <w:r w:rsidR="00A70573" w:rsidRPr="00156466">
        <w:t xml:space="preserve"> 95,6</w:t>
      </w:r>
      <w:r w:rsidRPr="00156466">
        <w:t xml:space="preserve"> tūkst. Eur mažiau</w:t>
      </w:r>
      <w:r w:rsidR="00156466" w:rsidRPr="00156466">
        <w:t>, negu buvo planuota,</w:t>
      </w:r>
      <w:r w:rsidRPr="00156466">
        <w:t xml:space="preserve"> panaudota </w:t>
      </w:r>
      <w:r w:rsidR="00156466" w:rsidRPr="00156466">
        <w:t xml:space="preserve">priemonei „Neformaliojo švietimo paslaugų prieinamumo didinimas“ ir </w:t>
      </w:r>
      <w:r w:rsidR="00A70573" w:rsidRPr="00156466">
        <w:t>116,8</w:t>
      </w:r>
      <w:r w:rsidRPr="00156466">
        <w:t xml:space="preserve"> tūkst. Eur </w:t>
      </w:r>
      <w:r w:rsidR="00156466" w:rsidRPr="00156466">
        <w:t xml:space="preserve">mažiau – priemonei „Ugdymo sąlygų gerinimas savivaldybės švietimo įstaigose“ įgyvendinti. </w:t>
      </w:r>
      <w:r w:rsidR="00156466">
        <w:t>40,9 tūkst. Eur</w:t>
      </w:r>
      <w:r w:rsidR="00156466" w:rsidRPr="00156466">
        <w:t xml:space="preserve"> </w:t>
      </w:r>
      <w:r w:rsidR="00156466">
        <w:t xml:space="preserve">liko nepanaudota </w:t>
      </w:r>
      <w:r w:rsidR="00156466" w:rsidRPr="00156466">
        <w:t>Marcinkonių daugiafunkci</w:t>
      </w:r>
      <w:r w:rsidR="00156466">
        <w:t>am</w:t>
      </w:r>
      <w:r w:rsidR="00156466" w:rsidRPr="00156466">
        <w:t xml:space="preserve"> centr</w:t>
      </w:r>
      <w:r w:rsidR="00156466">
        <w:t xml:space="preserve">ui įgyvendinant projektą „Bendruomenių tarp sienų kelias į gerovę“, kadangi </w:t>
      </w:r>
      <w:r w:rsidR="002438B5">
        <w:t xml:space="preserve">dalis </w:t>
      </w:r>
      <w:r w:rsidR="00156466" w:rsidRPr="00156466">
        <w:t xml:space="preserve">Savivaldybės biudžeto lėšomis apmokėtų </w:t>
      </w:r>
      <w:r w:rsidR="00156466">
        <w:t xml:space="preserve">šio </w:t>
      </w:r>
      <w:r w:rsidR="00156466" w:rsidRPr="00156466">
        <w:t xml:space="preserve">projekto išlaidų </w:t>
      </w:r>
      <w:r w:rsidR="00E44C51">
        <w:t xml:space="preserve">buvo </w:t>
      </w:r>
      <w:r w:rsidR="002438B5">
        <w:t>kompensuot</w:t>
      </w:r>
      <w:r w:rsidR="00E44C51">
        <w:t>a</w:t>
      </w:r>
      <w:r w:rsidR="002438B5">
        <w:t xml:space="preserve"> </w:t>
      </w:r>
      <w:r w:rsidR="00E44C51" w:rsidRPr="00E44C51">
        <w:t>Europos Sąjungos lėšomis</w:t>
      </w:r>
      <w:r w:rsidR="002438B5">
        <w:t>.</w:t>
      </w:r>
    </w:p>
    <w:p w14:paraId="272C167D" w14:textId="77777777" w:rsidR="00AB7A95" w:rsidRPr="00AB7A95" w:rsidRDefault="00AB7A95" w:rsidP="00AB7A95">
      <w:pPr>
        <w:shd w:val="clear" w:color="auto" w:fill="FFFFFF"/>
        <w:ind w:left="284" w:firstLine="425"/>
        <w:jc w:val="both"/>
        <w:rPr>
          <w:i/>
          <w:caps/>
          <w:highlight w:val="yellow"/>
        </w:rPr>
      </w:pPr>
    </w:p>
    <w:p w14:paraId="616790DA" w14:textId="77777777" w:rsidR="00AB7A95" w:rsidRPr="000A5656" w:rsidRDefault="00AB7A95" w:rsidP="00AB7A95">
      <w:pPr>
        <w:shd w:val="clear" w:color="auto" w:fill="FFFFFF"/>
        <w:spacing w:line="360" w:lineRule="auto"/>
        <w:ind w:firstLine="709"/>
        <w:jc w:val="both"/>
        <w:rPr>
          <w:b/>
          <w:bCs/>
          <w:caps/>
          <w:lang w:val="en-US"/>
        </w:rPr>
      </w:pPr>
      <w:r w:rsidRPr="000A5656">
        <w:rPr>
          <w:b/>
          <w:bCs/>
          <w:i/>
          <w:caps/>
        </w:rPr>
        <w:t>Bendruomeniškumo ugdymo IR VISUOMENĖS SAUGUMO UŽTIKRINIMO programa</w:t>
      </w:r>
    </w:p>
    <w:p w14:paraId="5D2CD40F" w14:textId="1D92D507" w:rsidR="00AB7A95" w:rsidRPr="000252A0" w:rsidRDefault="00AB7A95" w:rsidP="00AB7A95">
      <w:pPr>
        <w:spacing w:line="360" w:lineRule="auto"/>
        <w:ind w:firstLine="709"/>
        <w:jc w:val="both"/>
        <w:rPr>
          <w:noProof/>
        </w:rPr>
      </w:pPr>
      <w:r w:rsidRPr="000252A0">
        <w:rPr>
          <w:noProof/>
        </w:rPr>
        <w:t>202</w:t>
      </w:r>
      <w:r w:rsidR="000252A0" w:rsidRPr="000252A0">
        <w:rPr>
          <w:noProof/>
        </w:rPr>
        <w:t>5</w:t>
      </w:r>
      <w:r w:rsidRPr="000252A0">
        <w:rPr>
          <w:noProof/>
        </w:rPr>
        <w:t xml:space="preserve"> metais Bendruomeniškumo ugdymo ir visuomenės saugumo užtikrinimo programai buvo suplanuota 1</w:t>
      </w:r>
      <w:r w:rsidR="000252A0" w:rsidRPr="000252A0">
        <w:rPr>
          <w:noProof/>
        </w:rPr>
        <w:t> 595,9</w:t>
      </w:r>
      <w:r w:rsidRPr="000252A0">
        <w:rPr>
          <w:noProof/>
        </w:rPr>
        <w:t xml:space="preserve"> tūkst. Eur,  panaudota </w:t>
      </w:r>
      <w:r w:rsidRPr="000252A0">
        <w:t>1</w:t>
      </w:r>
      <w:r w:rsidR="000252A0" w:rsidRPr="000252A0">
        <w:t> 567,5</w:t>
      </w:r>
      <w:r w:rsidRPr="000252A0">
        <w:t xml:space="preserve"> tūkst. Eur, t. y. </w:t>
      </w:r>
      <w:r w:rsidRPr="000252A0">
        <w:rPr>
          <w:noProof/>
        </w:rPr>
        <w:t>2,</w:t>
      </w:r>
      <w:r w:rsidR="000252A0" w:rsidRPr="000252A0">
        <w:rPr>
          <w:noProof/>
        </w:rPr>
        <w:t xml:space="preserve">9 </w:t>
      </w:r>
      <w:r w:rsidRPr="000252A0">
        <w:rPr>
          <w:noProof/>
        </w:rPr>
        <w:t xml:space="preserve">proc. visų biudžeto išlaidų. Nepanaudota </w:t>
      </w:r>
      <w:r w:rsidR="000252A0" w:rsidRPr="000252A0">
        <w:rPr>
          <w:noProof/>
        </w:rPr>
        <w:t>28,4</w:t>
      </w:r>
      <w:r w:rsidRPr="000252A0">
        <w:rPr>
          <w:noProof/>
        </w:rPr>
        <w:t xml:space="preserve"> tūkst. Eur asignavimų.</w:t>
      </w:r>
    </w:p>
    <w:p w14:paraId="24C7E3DC" w14:textId="75701864" w:rsidR="00D45F42" w:rsidRPr="00D45F42" w:rsidRDefault="00AB7A95" w:rsidP="00FD613E">
      <w:pPr>
        <w:spacing w:line="360" w:lineRule="auto"/>
        <w:ind w:firstLine="709"/>
        <w:jc w:val="both"/>
        <w:outlineLvl w:val="0"/>
        <w:rPr>
          <w:color w:val="000000"/>
          <w:sz w:val="18"/>
          <w:szCs w:val="18"/>
          <w:lang w:val="en-US"/>
        </w:rPr>
      </w:pPr>
      <w:r w:rsidRPr="00FD613E">
        <w:t xml:space="preserve">Dėl neužimtos Savivaldybės jaunimo reikalų koordinatoriaus pareigybės panaudota </w:t>
      </w:r>
      <w:r w:rsidR="00D45F42" w:rsidRPr="00FD613E">
        <w:t>0,</w:t>
      </w:r>
      <w:r w:rsidR="00185405">
        <w:t>3</w:t>
      </w:r>
      <w:r w:rsidRPr="00FD613E">
        <w:t xml:space="preserve"> tūkst. Eur mažiau, nei planuota, </w:t>
      </w:r>
      <w:r w:rsidRPr="00FD613E">
        <w:rPr>
          <w:noProof/>
        </w:rPr>
        <w:t>valstybės biudžeto lėšų</w:t>
      </w:r>
      <w:r w:rsidR="00185405">
        <w:rPr>
          <w:noProof/>
        </w:rPr>
        <w:t xml:space="preserve"> </w:t>
      </w:r>
      <w:r w:rsidR="00185405" w:rsidRPr="004F45B9">
        <w:rPr>
          <w:noProof/>
        </w:rPr>
        <w:t>jaunimo politikos įgyvendinimui. Šios lėšos</w:t>
      </w:r>
      <w:r w:rsidRPr="004F45B9">
        <w:rPr>
          <w:noProof/>
        </w:rPr>
        <w:t xml:space="preserve"> iki 202</w:t>
      </w:r>
      <w:r w:rsidR="00D45F42" w:rsidRPr="004F45B9">
        <w:rPr>
          <w:noProof/>
        </w:rPr>
        <w:t>5</w:t>
      </w:r>
      <w:r w:rsidRPr="004F45B9">
        <w:rPr>
          <w:noProof/>
        </w:rPr>
        <w:t xml:space="preserve"> m. gruodžio 31 d. buvo grąžintos į valstybės biudžetą</w:t>
      </w:r>
      <w:r w:rsidR="00185405" w:rsidRPr="004F45B9">
        <w:rPr>
          <w:noProof/>
        </w:rPr>
        <w:t>.</w:t>
      </w:r>
      <w:r w:rsidRPr="004F45B9">
        <w:rPr>
          <w:noProof/>
        </w:rPr>
        <w:t xml:space="preserve"> Varėnos rajono bendruomeninių, tautinių bendrijų ir kitų organizacijų rėmimui panaudota </w:t>
      </w:r>
      <w:r w:rsidR="00D45F42" w:rsidRPr="004F45B9">
        <w:rPr>
          <w:noProof/>
        </w:rPr>
        <w:t>18,5</w:t>
      </w:r>
      <w:r w:rsidRPr="004F45B9">
        <w:rPr>
          <w:noProof/>
        </w:rPr>
        <w:t xml:space="preserve"> tūkst. Eur mažiau Savivaldybės biudžeto lėšų, negu planuota. </w:t>
      </w:r>
      <w:r w:rsidR="00FD613E" w:rsidRPr="004F45B9">
        <w:rPr>
          <w:noProof/>
        </w:rPr>
        <w:t>Dėl užsitęsusi</w:t>
      </w:r>
      <w:r w:rsidR="00BF2419" w:rsidRPr="004F45B9">
        <w:rPr>
          <w:noProof/>
        </w:rPr>
        <w:t>ų</w:t>
      </w:r>
      <w:r w:rsidR="00FD613E" w:rsidRPr="004F45B9">
        <w:rPr>
          <w:noProof/>
        </w:rPr>
        <w:t xml:space="preserve"> gelbėjimo įrangos viešojo</w:t>
      </w:r>
      <w:r w:rsidR="00FD613E" w:rsidRPr="00FD613E">
        <w:rPr>
          <w:noProof/>
        </w:rPr>
        <w:t xml:space="preserve"> pirkimo </w:t>
      </w:r>
      <w:r w:rsidR="00BF2419">
        <w:rPr>
          <w:noProof/>
        </w:rPr>
        <w:t xml:space="preserve">procedūrų </w:t>
      </w:r>
      <w:r w:rsidR="00FD613E" w:rsidRPr="00FD613E">
        <w:rPr>
          <w:noProof/>
        </w:rPr>
        <w:t xml:space="preserve">liko nepanaudota 9,3 tūkst. Eur </w:t>
      </w:r>
      <w:r w:rsidR="00D45F42" w:rsidRPr="00FD613E">
        <w:rPr>
          <w:color w:val="000000"/>
          <w:szCs w:val="24"/>
        </w:rPr>
        <w:t>Varėnos rajono savivaldybės priešgaisrinės apsaugos tarnyb</w:t>
      </w:r>
      <w:r w:rsidR="00BF2419">
        <w:rPr>
          <w:color w:val="000000"/>
          <w:szCs w:val="24"/>
        </w:rPr>
        <w:t>ai įgyvendinant projektą „</w:t>
      </w:r>
      <w:r w:rsidR="00BF2419" w:rsidRPr="00BF2419">
        <w:rPr>
          <w:color w:val="000000"/>
          <w:szCs w:val="24"/>
        </w:rPr>
        <w:t>Priešgaisrinių gelbėjimo tarnybų bendradarbiavimas, parengties ir prevencijos stiprinimas siekiant išsaugoti gamtą naftos ir (ar) naftos produktų avarijos, jų degimo ar išsiliejimo atvejais</w:t>
      </w:r>
      <w:r w:rsidR="00BF2419">
        <w:rPr>
          <w:color w:val="000000"/>
          <w:szCs w:val="24"/>
        </w:rPr>
        <w:t>“</w:t>
      </w:r>
      <w:r w:rsidR="00FD613E" w:rsidRPr="00FD613E">
        <w:rPr>
          <w:color w:val="000000"/>
          <w:szCs w:val="24"/>
        </w:rPr>
        <w:t>.</w:t>
      </w:r>
    </w:p>
    <w:p w14:paraId="1C73155D" w14:textId="77777777" w:rsidR="00AB7A95" w:rsidRPr="00AB7A95" w:rsidRDefault="00AB7A95" w:rsidP="00AB7A95">
      <w:pPr>
        <w:ind w:firstLine="709"/>
        <w:jc w:val="both"/>
        <w:rPr>
          <w:i/>
          <w:caps/>
          <w:highlight w:val="yellow"/>
        </w:rPr>
      </w:pPr>
    </w:p>
    <w:p w14:paraId="06075A25" w14:textId="77777777" w:rsidR="00AB7A95" w:rsidRPr="000A5656" w:rsidRDefault="00AB7A95" w:rsidP="00AB7A95">
      <w:pPr>
        <w:spacing w:line="360" w:lineRule="auto"/>
        <w:ind w:firstLine="709"/>
        <w:jc w:val="both"/>
        <w:rPr>
          <w:b/>
          <w:bCs/>
          <w:i/>
          <w:caps/>
        </w:rPr>
      </w:pPr>
      <w:r w:rsidRPr="000A5656">
        <w:rPr>
          <w:b/>
          <w:bCs/>
          <w:i/>
          <w:caps/>
        </w:rPr>
        <w:t>Socialinės apsaugos programa</w:t>
      </w:r>
    </w:p>
    <w:p w14:paraId="6319EA3F" w14:textId="487AA804" w:rsidR="00AB7A95" w:rsidRPr="00A32F77" w:rsidRDefault="00AB7A95" w:rsidP="00AB7A95">
      <w:pPr>
        <w:spacing w:line="360" w:lineRule="auto"/>
        <w:ind w:firstLine="709"/>
        <w:jc w:val="both"/>
        <w:rPr>
          <w:noProof/>
        </w:rPr>
      </w:pPr>
      <w:r w:rsidRPr="00A32F77">
        <w:t>202</w:t>
      </w:r>
      <w:r w:rsidR="00AD36A2" w:rsidRPr="00A32F77">
        <w:t>5</w:t>
      </w:r>
      <w:r w:rsidRPr="00A32F77">
        <w:t xml:space="preserve"> metais pagal patikslintą asignavimų planą šiai programai įgyvendinti buvo suplanuota </w:t>
      </w:r>
      <w:r w:rsidR="00A32F77" w:rsidRPr="00A32F77">
        <w:t>11 992,5</w:t>
      </w:r>
      <w:r w:rsidRPr="00A32F77">
        <w:t xml:space="preserve"> tūkst. Eur, panaudota </w:t>
      </w:r>
      <w:r w:rsidRPr="00A32F77">
        <w:rPr>
          <w:noProof/>
        </w:rPr>
        <w:t xml:space="preserve">– </w:t>
      </w:r>
      <w:r w:rsidR="00A32F77" w:rsidRPr="00A32F77">
        <w:t>11 440,4</w:t>
      </w:r>
      <w:r w:rsidRPr="00A32F77">
        <w:t xml:space="preserve"> tūkst. Eur, t. y.</w:t>
      </w:r>
      <w:r w:rsidRPr="00A32F77">
        <w:rPr>
          <w:bCs/>
        </w:rPr>
        <w:t xml:space="preserve"> </w:t>
      </w:r>
      <w:r w:rsidR="00A32F77" w:rsidRPr="00A32F77">
        <w:rPr>
          <w:bCs/>
        </w:rPr>
        <w:t>21,4</w:t>
      </w:r>
      <w:r w:rsidRPr="00A32F77">
        <w:rPr>
          <w:bCs/>
        </w:rPr>
        <w:t xml:space="preserve"> proc. visų biudžeto išlaidų. Nepanaudota </w:t>
      </w:r>
      <w:r w:rsidR="00A32F77" w:rsidRPr="00A32F77">
        <w:rPr>
          <w:bCs/>
        </w:rPr>
        <w:t>552,1</w:t>
      </w:r>
      <w:r w:rsidRPr="00A32F77">
        <w:rPr>
          <w:bCs/>
        </w:rPr>
        <w:t xml:space="preserve"> tūkst. Eur</w:t>
      </w:r>
      <w:r w:rsidRPr="00A32F77">
        <w:rPr>
          <w:noProof/>
        </w:rPr>
        <w:t xml:space="preserve"> asignavimų</w:t>
      </w:r>
      <w:r w:rsidRPr="00A32F77">
        <w:rPr>
          <w:bCs/>
        </w:rPr>
        <w:t>.</w:t>
      </w:r>
    </w:p>
    <w:p w14:paraId="743C648D" w14:textId="2A879093" w:rsidR="00AB7A95" w:rsidRPr="007B2D56" w:rsidRDefault="00AB7A95" w:rsidP="00AB7A95">
      <w:pPr>
        <w:spacing w:line="360" w:lineRule="auto"/>
        <w:ind w:firstLine="709"/>
        <w:jc w:val="both"/>
        <w:rPr>
          <w:color w:val="000000"/>
        </w:rPr>
      </w:pPr>
      <w:r w:rsidRPr="007B2D56">
        <w:rPr>
          <w:color w:val="000000"/>
        </w:rPr>
        <w:t xml:space="preserve">Valstybinėms (valstybės perduotoms savivaldybėms) funkcijoms vykdyti nepanaudota </w:t>
      </w:r>
      <w:r w:rsidR="007B2D56" w:rsidRPr="007B2D56">
        <w:rPr>
          <w:color w:val="000000"/>
        </w:rPr>
        <w:t>54,8</w:t>
      </w:r>
      <w:r w:rsidRPr="007B2D56">
        <w:rPr>
          <w:color w:val="000000"/>
        </w:rPr>
        <w:t xml:space="preserve"> tūkst. Eur, iš jų: </w:t>
      </w:r>
      <w:r w:rsidR="007B2D56" w:rsidRPr="007B2D56">
        <w:rPr>
          <w:color w:val="000000"/>
        </w:rPr>
        <w:t>20,9</w:t>
      </w:r>
      <w:r w:rsidRPr="007B2D56">
        <w:rPr>
          <w:color w:val="000000"/>
        </w:rPr>
        <w:t xml:space="preserve"> tūkst. Eur </w:t>
      </w:r>
      <w:r w:rsidRPr="007B2D56">
        <w:rPr>
          <w:noProof/>
          <w:color w:val="000000"/>
        </w:rPr>
        <w:t>–</w:t>
      </w:r>
      <w:r w:rsidRPr="007B2D56">
        <w:rPr>
          <w:color w:val="000000"/>
        </w:rPr>
        <w:t xml:space="preserve"> socialinei paramai mokiniams; </w:t>
      </w:r>
      <w:r w:rsidR="007B2D56" w:rsidRPr="007B2D56">
        <w:rPr>
          <w:color w:val="000000"/>
        </w:rPr>
        <w:t>24,4</w:t>
      </w:r>
      <w:r w:rsidRPr="007B2D56">
        <w:rPr>
          <w:color w:val="000000"/>
        </w:rPr>
        <w:t xml:space="preserve"> </w:t>
      </w:r>
      <w:r w:rsidRPr="0000569D">
        <w:rPr>
          <w:color w:val="000000"/>
        </w:rPr>
        <w:t>tūkst</w:t>
      </w:r>
      <w:r w:rsidRPr="0000569D">
        <w:t xml:space="preserve">. Eur </w:t>
      </w:r>
      <w:r w:rsidRPr="0000569D">
        <w:rPr>
          <w:noProof/>
        </w:rPr>
        <w:t>–</w:t>
      </w:r>
      <w:r w:rsidRPr="0000569D">
        <w:t xml:space="preserve"> socialinės priežiūros šeimoms teikimui; </w:t>
      </w:r>
      <w:r w:rsidR="007B2D56" w:rsidRPr="0000569D">
        <w:t>0,7</w:t>
      </w:r>
      <w:r w:rsidRPr="0000569D">
        <w:t xml:space="preserve"> tūkst. Eur </w:t>
      </w:r>
      <w:r w:rsidRPr="0000569D">
        <w:rPr>
          <w:noProof/>
        </w:rPr>
        <w:t>–</w:t>
      </w:r>
      <w:r w:rsidRPr="0000569D">
        <w:t xml:space="preserve"> socialinėms paslaugoms teikti; </w:t>
      </w:r>
      <w:r w:rsidR="007B2D56" w:rsidRPr="0000569D">
        <w:t>8,2</w:t>
      </w:r>
      <w:r w:rsidRPr="0000569D">
        <w:t xml:space="preserve"> tūkst. Eur – </w:t>
      </w:r>
      <w:r w:rsidR="0000569D" w:rsidRPr="0000569D">
        <w:t>laidojimo</w:t>
      </w:r>
      <w:r w:rsidRPr="0000569D">
        <w:t xml:space="preserve"> </w:t>
      </w:r>
      <w:r w:rsidR="00D62215" w:rsidRPr="0000569D">
        <w:lastRenderedPageBreak/>
        <w:t>pašalpoms</w:t>
      </w:r>
      <w:r w:rsidR="0000569D" w:rsidRPr="0000569D">
        <w:t xml:space="preserve"> mokėti ir administruoti</w:t>
      </w:r>
      <w:r w:rsidRPr="0000569D">
        <w:t xml:space="preserve">; </w:t>
      </w:r>
      <w:r w:rsidR="007B2D56" w:rsidRPr="0000569D">
        <w:t>0,6</w:t>
      </w:r>
      <w:r w:rsidRPr="0000569D">
        <w:t xml:space="preserve"> tūkst. Eur – būsto nuomos ar išperkamosios nuomos mokesčio dalies kompensavimui. Nepanaudoti asignavimai grąžinti į valstybės </w:t>
      </w:r>
      <w:r w:rsidRPr="007B2D56">
        <w:rPr>
          <w:color w:val="000000"/>
        </w:rPr>
        <w:t>biudžetą.</w:t>
      </w:r>
    </w:p>
    <w:p w14:paraId="4BEA641E" w14:textId="7DDB870A" w:rsidR="00AB7A95" w:rsidRPr="00EB6593" w:rsidRDefault="00AB7A95" w:rsidP="00AB7A95">
      <w:pPr>
        <w:spacing w:line="360" w:lineRule="auto"/>
        <w:ind w:firstLine="709"/>
        <w:jc w:val="both"/>
      </w:pPr>
      <w:r w:rsidRPr="00F0148D">
        <w:rPr>
          <w:color w:val="000000"/>
        </w:rPr>
        <w:t xml:space="preserve">Specialios tikslinės dotacijos nepanaudota </w:t>
      </w:r>
      <w:r w:rsidR="00F0148D" w:rsidRPr="00F0148D">
        <w:rPr>
          <w:color w:val="000000"/>
        </w:rPr>
        <w:t>3</w:t>
      </w:r>
      <w:r w:rsidR="003012D1">
        <w:rPr>
          <w:color w:val="000000"/>
        </w:rPr>
        <w:t>2,2</w:t>
      </w:r>
      <w:r w:rsidRPr="00F0148D">
        <w:rPr>
          <w:color w:val="000000"/>
        </w:rPr>
        <w:t xml:space="preserve"> tūkst. Eur, iš jų: </w:t>
      </w:r>
      <w:r w:rsidR="00F0148D" w:rsidRPr="00F0148D">
        <w:rPr>
          <w:color w:val="000000"/>
        </w:rPr>
        <w:t>15,8</w:t>
      </w:r>
      <w:r w:rsidRPr="00F0148D">
        <w:rPr>
          <w:color w:val="000000"/>
        </w:rPr>
        <w:t xml:space="preserve"> tūkst. Eur – laikino atokvėpio paslaugų teikimui</w:t>
      </w:r>
      <w:r w:rsidR="00472C69">
        <w:rPr>
          <w:color w:val="000000"/>
        </w:rPr>
        <w:t xml:space="preserve"> dėl </w:t>
      </w:r>
      <w:r w:rsidR="00472C69" w:rsidRPr="00472C69">
        <w:t>mažesnio</w:t>
      </w:r>
      <w:r w:rsidRPr="00472C69">
        <w:t xml:space="preserve"> šių paslaugų </w:t>
      </w:r>
      <w:r w:rsidRPr="003012D1">
        <w:t>poreikio</w:t>
      </w:r>
      <w:r w:rsidR="00915A9D" w:rsidRPr="003012D1">
        <w:t>;</w:t>
      </w:r>
      <w:r w:rsidRPr="003012D1">
        <w:t xml:space="preserve"> </w:t>
      </w:r>
      <w:r w:rsidR="003012D1" w:rsidRPr="003012D1">
        <w:t>0</w:t>
      </w:r>
      <w:r w:rsidR="00F0148D" w:rsidRPr="003012D1">
        <w:t>,</w:t>
      </w:r>
      <w:r w:rsidR="003012D1" w:rsidRPr="003012D1">
        <w:t>2</w:t>
      </w:r>
      <w:r w:rsidR="00F0148D" w:rsidRPr="003012D1">
        <w:t xml:space="preserve"> </w:t>
      </w:r>
      <w:r w:rsidRPr="003012D1">
        <w:t xml:space="preserve">tūkst. Eur – akredituotos </w:t>
      </w:r>
      <w:r w:rsidRPr="00F0148D">
        <w:rPr>
          <w:color w:val="000000"/>
        </w:rPr>
        <w:t xml:space="preserve">socialinės reabilitacijos </w:t>
      </w:r>
      <w:r w:rsidRPr="00472C69">
        <w:t xml:space="preserve">paslaugų </w:t>
      </w:r>
      <w:r w:rsidR="00472C69" w:rsidRPr="00472C69">
        <w:t>asmenims su negalia</w:t>
      </w:r>
      <w:r w:rsidRPr="00472C69">
        <w:t xml:space="preserve"> bendruomenėje </w:t>
      </w:r>
      <w:r w:rsidRPr="0000569D">
        <w:t xml:space="preserve">teikimui; </w:t>
      </w:r>
      <w:r w:rsidR="00F0148D" w:rsidRPr="0000569D">
        <w:t>10,7</w:t>
      </w:r>
      <w:r w:rsidRPr="0000569D">
        <w:t xml:space="preserve"> tūkst. Eur – būsto pritaikymui </w:t>
      </w:r>
      <w:r w:rsidR="00472C69" w:rsidRPr="0000569D">
        <w:t>asmenims su negalia</w:t>
      </w:r>
      <w:r w:rsidRPr="0000569D">
        <w:t>;</w:t>
      </w:r>
      <w:r w:rsidRPr="00F0148D">
        <w:rPr>
          <w:color w:val="000000"/>
        </w:rPr>
        <w:t xml:space="preserve"> </w:t>
      </w:r>
      <w:r w:rsidR="00F0148D" w:rsidRPr="00F0148D">
        <w:rPr>
          <w:color w:val="000000"/>
        </w:rPr>
        <w:t>5,</w:t>
      </w:r>
      <w:r w:rsidR="00F0148D" w:rsidRPr="00EB6593">
        <w:t>5</w:t>
      </w:r>
      <w:r w:rsidR="00915A9D" w:rsidRPr="00EB6593">
        <w:t xml:space="preserve"> </w:t>
      </w:r>
      <w:r w:rsidRPr="00EB6593">
        <w:t xml:space="preserve">tūkst. Eur – asmeninei pagalbai namuose </w:t>
      </w:r>
      <w:r w:rsidR="00472C69" w:rsidRPr="00EB6593">
        <w:t>asmenims su negalia</w:t>
      </w:r>
      <w:r w:rsidRPr="00EB6593">
        <w:t xml:space="preserve"> ir senyvo amžiaus asmenims organizuoti, kadangi kreipėsi mažiau </w:t>
      </w:r>
      <w:r w:rsidR="00EB6593" w:rsidRPr="00EB6593">
        <w:t>asmenų</w:t>
      </w:r>
      <w:r w:rsidRPr="00EB6593">
        <w:t>.</w:t>
      </w:r>
    </w:p>
    <w:p w14:paraId="7A0FA624" w14:textId="132A4C3E" w:rsidR="00AB7A95" w:rsidRPr="00901CED" w:rsidRDefault="00AB7A95" w:rsidP="00AB7A95">
      <w:pPr>
        <w:spacing w:line="360" w:lineRule="auto"/>
        <w:ind w:firstLine="709"/>
        <w:jc w:val="both"/>
        <w:rPr>
          <w:color w:val="000000"/>
        </w:rPr>
      </w:pPr>
      <w:r w:rsidRPr="006F48C3">
        <w:rPr>
          <w:color w:val="000000"/>
        </w:rPr>
        <w:t xml:space="preserve">Savivaldybės globos įstaigos išleido </w:t>
      </w:r>
      <w:r w:rsidR="006F48C3" w:rsidRPr="006F48C3">
        <w:rPr>
          <w:color w:val="000000"/>
        </w:rPr>
        <w:t>92,8</w:t>
      </w:r>
      <w:r w:rsidRPr="006F48C3">
        <w:rPr>
          <w:color w:val="000000"/>
        </w:rPr>
        <w:t xml:space="preserve"> tūkst. Eur mažiau biudžetinių įstaigų pajamų prekių ir paslaugų įsigijimui, </w:t>
      </w:r>
      <w:r w:rsidRPr="00901CED">
        <w:rPr>
          <w:color w:val="000000"/>
        </w:rPr>
        <w:t>kadangi sąskaitos už 202</w:t>
      </w:r>
      <w:r w:rsidR="006F48C3" w:rsidRPr="00901CED">
        <w:rPr>
          <w:color w:val="000000"/>
        </w:rPr>
        <w:t>5</w:t>
      </w:r>
      <w:r w:rsidRPr="00901CED">
        <w:rPr>
          <w:color w:val="000000"/>
        </w:rPr>
        <w:t xml:space="preserve"> m. gruodžio mėn. suteiktas paslaugas apmokėtos po ataskaitinio laikotarpio pabaigos, t. y. 202</w:t>
      </w:r>
      <w:r w:rsidR="006F48C3" w:rsidRPr="00901CED">
        <w:rPr>
          <w:color w:val="000000"/>
        </w:rPr>
        <w:t>6</w:t>
      </w:r>
      <w:r w:rsidRPr="00901CED">
        <w:rPr>
          <w:color w:val="000000"/>
        </w:rPr>
        <w:t xml:space="preserve"> m. sausio mėn. </w:t>
      </w:r>
    </w:p>
    <w:p w14:paraId="6D65912F" w14:textId="2283467C" w:rsidR="00040433" w:rsidRPr="00901CED" w:rsidRDefault="00040433" w:rsidP="00AB7A95">
      <w:pPr>
        <w:spacing w:line="360" w:lineRule="auto"/>
        <w:ind w:firstLine="709"/>
        <w:jc w:val="both"/>
        <w:rPr>
          <w:color w:val="000000"/>
        </w:rPr>
      </w:pPr>
      <w:r w:rsidRPr="00901CED">
        <w:rPr>
          <w:color w:val="000000"/>
        </w:rPr>
        <w:t>2025 m. gruodžio mėn. negavus planuotų Europos Sąjungos paramos lėšų, 118,9 tūkst. Eur mažiau panaudota projektui „Nestacionarių socialinių paslaugų socialinę atskirtį patiriantiems asmenims plėtra Varėnos rajono savivaldybėje“ įgyvendinti.</w:t>
      </w:r>
    </w:p>
    <w:p w14:paraId="4565ABB6" w14:textId="2DE310F9" w:rsidR="00AB7A95" w:rsidRPr="000E1A55" w:rsidRDefault="00AB7A95" w:rsidP="00AB7A95">
      <w:pPr>
        <w:spacing w:line="360" w:lineRule="auto"/>
        <w:ind w:firstLine="709"/>
        <w:jc w:val="both"/>
      </w:pPr>
      <w:r w:rsidRPr="00901CED">
        <w:rPr>
          <w:color w:val="000000"/>
        </w:rPr>
        <w:t xml:space="preserve">Didžiausią nepanaudotų asignavimų dalį Socialinės </w:t>
      </w:r>
      <w:r w:rsidRPr="00901CED">
        <w:t>apsaugos</w:t>
      </w:r>
      <w:r w:rsidRPr="00E75B32">
        <w:t xml:space="preserve"> programoje sudaro Savivaldybės biudžeto lėšos savarankiškosioms funkcijoms finansuoti – </w:t>
      </w:r>
      <w:r w:rsidR="002E2526" w:rsidRPr="00E75B32">
        <w:t>237,2</w:t>
      </w:r>
      <w:r w:rsidRPr="00E75B32">
        <w:t xml:space="preserve"> tūkst. Eur. </w:t>
      </w:r>
      <w:r w:rsidR="00E75B32" w:rsidRPr="00E75B32">
        <w:t xml:space="preserve">Užtrukus </w:t>
      </w:r>
      <w:r w:rsidR="00A914DB" w:rsidRPr="00E75B32">
        <w:t>statybą leidžiančio dokumento gavim</w:t>
      </w:r>
      <w:r w:rsidR="00E75B32" w:rsidRPr="00E75B32">
        <w:t>ui</w:t>
      </w:r>
      <w:r w:rsidR="00A914DB" w:rsidRPr="00E75B32">
        <w:t>, nebuvo atliktas tarpinis mokėjimas už techninio darbo projekto parengimo paslaugas</w:t>
      </w:r>
      <w:r w:rsidR="00E75B32" w:rsidRPr="00E75B32">
        <w:t>, todėl liko nepanaudoti planuoti 77,3 tūkst. Eur įgyvendinant projektą „Socialinio būsto plėtra Varėnos rajono savivaldybėje“.</w:t>
      </w:r>
      <w:r w:rsidRPr="00E75B32">
        <w:t xml:space="preserve"> </w:t>
      </w:r>
      <w:r w:rsidR="0081029F" w:rsidRPr="00E75B32">
        <w:t>43,0</w:t>
      </w:r>
      <w:r w:rsidRPr="00E75B32">
        <w:t xml:space="preserve"> tūkst. Eur mažiau</w:t>
      </w:r>
      <w:r w:rsidRPr="00EB6593">
        <w:t xml:space="preserve"> Savivaldybės biudžeto lėšų panaudota</w:t>
      </w:r>
      <w:r w:rsidR="00EB6593" w:rsidRPr="00EB6593">
        <w:t xml:space="preserve"> laidojimo pašalpoms,</w:t>
      </w:r>
      <w:r w:rsidRPr="00EB6593">
        <w:t xml:space="preserve"> </w:t>
      </w:r>
      <w:r w:rsidR="00EB6593" w:rsidRPr="00E75B32">
        <w:t xml:space="preserve">vienkartinėms išmokoms, </w:t>
      </w:r>
      <w:r w:rsidRPr="00E75B32">
        <w:t xml:space="preserve">socialinėms </w:t>
      </w:r>
      <w:r w:rsidR="00D62215" w:rsidRPr="00E75B32">
        <w:t>pašalpoms</w:t>
      </w:r>
      <w:r w:rsidRPr="00E75B32">
        <w:t xml:space="preserve"> ir kompensacijoms</w:t>
      </w:r>
      <w:r w:rsidR="00D62215" w:rsidRPr="00E75B32">
        <w:t xml:space="preserve"> </w:t>
      </w:r>
      <w:r w:rsidRPr="00E75B32">
        <w:t>bei jų administravimui</w:t>
      </w:r>
      <w:bookmarkStart w:id="2" w:name="_Hlk126057481"/>
      <w:r w:rsidRPr="00E75B32">
        <w:t>.</w:t>
      </w:r>
      <w:r w:rsidR="00D62215" w:rsidRPr="00E75B32">
        <w:t xml:space="preserve"> </w:t>
      </w:r>
      <w:r w:rsidR="0081029F" w:rsidRPr="00E75B32">
        <w:t>10,9 tūkst. Eur mažiau panaudota socialinės paramos šeimoms (asmenims) teikimui.</w:t>
      </w:r>
      <w:r w:rsidRPr="00E75B32">
        <w:t xml:space="preserve"> </w:t>
      </w:r>
      <w:r w:rsidR="006468F4" w:rsidRPr="00E75B32">
        <w:t>6,3</w:t>
      </w:r>
      <w:r w:rsidRPr="00E75B32">
        <w:t xml:space="preserve"> tūkst. Eur mažiau panaudota, negu planuota, būsto pritaikymui žmonėms su negalia. </w:t>
      </w:r>
      <w:r w:rsidR="00527CF6" w:rsidRPr="00E75B32">
        <w:t>Liko nepanaudota 22</w:t>
      </w:r>
      <w:r w:rsidR="00D10874" w:rsidRPr="00E75B32">
        <w:t>,</w:t>
      </w:r>
      <w:r w:rsidR="00527CF6" w:rsidRPr="00E75B32">
        <w:t>3</w:t>
      </w:r>
      <w:r w:rsidRPr="00E75B32">
        <w:t xml:space="preserve"> tūkst. Eur </w:t>
      </w:r>
      <w:r w:rsidR="00E75B32" w:rsidRPr="00E75B32">
        <w:t xml:space="preserve">įgyvendinant </w:t>
      </w:r>
      <w:r w:rsidRPr="00E75B32">
        <w:t>projekt</w:t>
      </w:r>
      <w:r w:rsidR="00E75B32" w:rsidRPr="00E75B32">
        <w:t>ą</w:t>
      </w:r>
      <w:r w:rsidRPr="00E75B32">
        <w:t xml:space="preserve"> „</w:t>
      </w:r>
      <w:r w:rsidR="00E75B32" w:rsidRPr="00E75B32">
        <w:t xml:space="preserve">Saugi ir sveika senatvė – bendradarbiavimo veiklos, skirtos </w:t>
      </w:r>
      <w:proofErr w:type="spellStart"/>
      <w:r w:rsidR="00E75B32" w:rsidRPr="00E75B32">
        <w:t>Gižycko</w:t>
      </w:r>
      <w:proofErr w:type="spellEnd"/>
      <w:r w:rsidR="00E75B32" w:rsidRPr="00E75B32">
        <w:t xml:space="preserve"> ir Varėnos bendruomenėms</w:t>
      </w:r>
      <w:r w:rsidRPr="00E75B32">
        <w:t>“</w:t>
      </w:r>
      <w:r w:rsidR="00527CF6" w:rsidRPr="00E75B32">
        <w:t>, kadangi sąskaita už atliktus rangos darbus pateikta 2026 m. sausio mėn.</w:t>
      </w:r>
      <w:r w:rsidRPr="00E75B32">
        <w:t xml:space="preserve"> Dėl kitų savivaldybių kompensuotų lėšų už vaikų išlaikymą Varėnos rajono savivaldybės šeiminiai namai nepanaudojo </w:t>
      </w:r>
      <w:r w:rsidR="006468F4" w:rsidRPr="00E75B32">
        <w:t>53,5</w:t>
      </w:r>
      <w:r w:rsidRPr="00E75B32">
        <w:t xml:space="preserve"> tūkst. Eur</w:t>
      </w:r>
      <w:bookmarkEnd w:id="2"/>
      <w:r w:rsidRPr="00E75B32">
        <w:t xml:space="preserve"> Savivaldybės biudžeto lėšų. Dėl laikino darbuotojų nedarbingumo Varėnos </w:t>
      </w:r>
      <w:r w:rsidRPr="00F20120">
        <w:t xml:space="preserve">globos namai panaudojo </w:t>
      </w:r>
      <w:r w:rsidR="006468F4" w:rsidRPr="00F20120">
        <w:t>6</w:t>
      </w:r>
      <w:r w:rsidRPr="00F20120">
        <w:t xml:space="preserve">,7 tūkst. Eur mažiau Savivaldybės biudžeto lėšų, negu planavo, socialinės globos paslaugų senyvo amžiaus asmenims, asmenims su negalia </w:t>
      </w:r>
      <w:r w:rsidRPr="000E1A55">
        <w:t>teikimui.</w:t>
      </w:r>
      <w:r w:rsidR="00F20120" w:rsidRPr="000E1A55">
        <w:t xml:space="preserve"> </w:t>
      </w:r>
    </w:p>
    <w:p w14:paraId="6879500A" w14:textId="77777777" w:rsidR="00AB7A95" w:rsidRPr="00527CF6" w:rsidRDefault="00AB7A95" w:rsidP="00AB7A95">
      <w:pPr>
        <w:ind w:firstLine="709"/>
        <w:jc w:val="both"/>
        <w:rPr>
          <w:i/>
          <w:caps/>
          <w:highlight w:val="yellow"/>
          <w:lang w:val="en-US"/>
        </w:rPr>
      </w:pPr>
    </w:p>
    <w:p w14:paraId="11007131" w14:textId="77777777" w:rsidR="00AB7A95" w:rsidRPr="000A5656" w:rsidRDefault="00AB7A95" w:rsidP="00AB7A95">
      <w:pPr>
        <w:spacing w:line="360" w:lineRule="auto"/>
        <w:ind w:firstLine="709"/>
        <w:jc w:val="both"/>
        <w:rPr>
          <w:b/>
          <w:bCs/>
          <w:i/>
          <w:caps/>
        </w:rPr>
      </w:pPr>
      <w:r w:rsidRPr="000A5656">
        <w:rPr>
          <w:b/>
          <w:bCs/>
          <w:i/>
          <w:caps/>
        </w:rPr>
        <w:t>Sveikatos apsaugos IR FIZINIO AKTYVUMO SKATINIMO programa</w:t>
      </w:r>
    </w:p>
    <w:p w14:paraId="59032B4F" w14:textId="3C085D14" w:rsidR="00AB7A95" w:rsidRPr="00234E8E" w:rsidRDefault="00AB7A95" w:rsidP="00AB7A95">
      <w:pPr>
        <w:spacing w:line="360" w:lineRule="auto"/>
        <w:ind w:firstLine="709"/>
        <w:jc w:val="both"/>
      </w:pPr>
      <w:r w:rsidRPr="000B281B">
        <w:t>202</w:t>
      </w:r>
      <w:r w:rsidR="001D3B47" w:rsidRPr="000B281B">
        <w:t>5</w:t>
      </w:r>
      <w:r w:rsidRPr="000B281B">
        <w:t xml:space="preserve"> metais Sveikatos apsaugos </w:t>
      </w:r>
      <w:r w:rsidR="000E1A55" w:rsidRPr="006D4291">
        <w:rPr>
          <w:szCs w:val="24"/>
        </w:rPr>
        <w:t xml:space="preserve">ir fizinio aktyvumo skatinimo </w:t>
      </w:r>
      <w:r w:rsidRPr="000B281B">
        <w:t xml:space="preserve">programai </w:t>
      </w:r>
      <w:bookmarkStart w:id="3" w:name="_Hlk63337507"/>
      <w:r w:rsidRPr="000B281B">
        <w:t xml:space="preserve">buvo suplanuota </w:t>
      </w:r>
      <w:bookmarkEnd w:id="3"/>
      <w:r w:rsidR="001D3B47" w:rsidRPr="000B281B">
        <w:t>2 818,0</w:t>
      </w:r>
      <w:r w:rsidRPr="000B281B">
        <w:t xml:space="preserve"> tūkst. Eur, panaudota – </w:t>
      </w:r>
      <w:r w:rsidR="001D3B47" w:rsidRPr="000B281B">
        <w:t>2 732,</w:t>
      </w:r>
      <w:r w:rsidR="001D3B47" w:rsidRPr="00234E8E">
        <w:t>0</w:t>
      </w:r>
      <w:r w:rsidRPr="00234E8E">
        <w:t xml:space="preserve"> tūkst. Eur, t. y. </w:t>
      </w:r>
      <w:r w:rsidR="001D3B47" w:rsidRPr="00234E8E">
        <w:t>5,1</w:t>
      </w:r>
      <w:r w:rsidRPr="00234E8E">
        <w:t xml:space="preserve"> proc. visų biudžeto išlaidų. Nepanaudota </w:t>
      </w:r>
      <w:r w:rsidR="000B281B" w:rsidRPr="00234E8E">
        <w:t>86,0</w:t>
      </w:r>
      <w:r w:rsidRPr="00234E8E">
        <w:t xml:space="preserve"> tūkst. Eur</w:t>
      </w:r>
      <w:r w:rsidRPr="00234E8E">
        <w:rPr>
          <w:noProof/>
        </w:rPr>
        <w:t xml:space="preserve"> asignavimų</w:t>
      </w:r>
      <w:r w:rsidRPr="00234E8E">
        <w:t>.</w:t>
      </w:r>
    </w:p>
    <w:p w14:paraId="02096A32" w14:textId="57EB47B5" w:rsidR="00F35699" w:rsidRDefault="00B55090" w:rsidP="00571BF6">
      <w:pPr>
        <w:spacing w:line="360" w:lineRule="auto"/>
        <w:ind w:firstLine="709"/>
        <w:jc w:val="both"/>
        <w:rPr>
          <w:szCs w:val="24"/>
        </w:rPr>
      </w:pPr>
      <w:r w:rsidRPr="00234E8E">
        <w:t>Varėnos sporto centras savo veiklai organizuoti panaudojo 75,0 tūkst. Eur mažiau</w:t>
      </w:r>
      <w:r w:rsidR="000E1A55" w:rsidRPr="00234E8E">
        <w:t>,</w:t>
      </w:r>
      <w:r w:rsidRPr="00234E8E">
        <w:t xml:space="preserve"> negu planavo</w:t>
      </w:r>
      <w:r w:rsidR="00234E8E" w:rsidRPr="00234E8E">
        <w:t>, kadangi</w:t>
      </w:r>
      <w:r w:rsidRPr="00234E8E">
        <w:t xml:space="preserve"> nega</w:t>
      </w:r>
      <w:r w:rsidR="00234E8E" w:rsidRPr="00234E8E">
        <w:t>vo</w:t>
      </w:r>
      <w:r w:rsidRPr="00234E8E">
        <w:t xml:space="preserve"> 3</w:t>
      </w:r>
      <w:r w:rsidR="00234E8E" w:rsidRPr="00234E8E">
        <w:t>2,6</w:t>
      </w:r>
      <w:r w:rsidRPr="00234E8E">
        <w:t xml:space="preserve"> tūkst. Eur</w:t>
      </w:r>
      <w:r w:rsidR="005C22E9" w:rsidRPr="00234E8E">
        <w:t xml:space="preserve"> planuotų</w:t>
      </w:r>
      <w:r w:rsidRPr="00234E8E">
        <w:t xml:space="preserve"> Europos Sąjungos paramos lėšų</w:t>
      </w:r>
      <w:r w:rsidR="00234E8E" w:rsidRPr="00234E8E">
        <w:t xml:space="preserve">, </w:t>
      </w:r>
      <w:r w:rsidRPr="00234E8E">
        <w:t>13,2 tūkst. Eur</w:t>
      </w:r>
      <w:r w:rsidR="00F35699" w:rsidRPr="00234E8E">
        <w:t xml:space="preserve"> </w:t>
      </w:r>
      <w:r w:rsidR="00F35699" w:rsidRPr="00234E8E">
        <w:lastRenderedPageBreak/>
        <w:t xml:space="preserve">panaudojo mažiau biudžetinių įstaigų pajamų, </w:t>
      </w:r>
      <w:r w:rsidR="00234E8E" w:rsidRPr="00234E8E">
        <w:t>nes</w:t>
      </w:r>
      <w:r w:rsidR="00F35699" w:rsidRPr="00234E8E">
        <w:t xml:space="preserve"> sąskaitos už 2025 m. gruodžio mėn. suteiktas paslaugas apmokėtos po ataskaitinio laikotarpio pabaigos,</w:t>
      </w:r>
      <w:r w:rsidR="00571BF6" w:rsidRPr="00234E8E">
        <w:t xml:space="preserve"> </w:t>
      </w:r>
      <w:r w:rsidR="00234E8E" w:rsidRPr="00234E8E">
        <w:t>29,2</w:t>
      </w:r>
      <w:r w:rsidR="00234E8E">
        <w:t xml:space="preserve"> tūkst. Eur liko nepanaudota įgyvendinant projektą „</w:t>
      </w:r>
      <w:r w:rsidR="00234E8E" w:rsidRPr="00234E8E">
        <w:t>Iššūkiai aktyviam pasienio šeimos gyvenimo būdui</w:t>
      </w:r>
      <w:r w:rsidR="00234E8E">
        <w:t xml:space="preserve">“, nes dalis </w:t>
      </w:r>
      <w:r w:rsidR="00234E8E" w:rsidRPr="00156466">
        <w:t xml:space="preserve">Savivaldybės biudžeto lėšomis apmokėtų </w:t>
      </w:r>
      <w:r w:rsidR="00234E8E">
        <w:t xml:space="preserve">šio </w:t>
      </w:r>
      <w:r w:rsidR="00234E8E" w:rsidRPr="00156466">
        <w:t xml:space="preserve">projekto išlaidų </w:t>
      </w:r>
      <w:r w:rsidR="00234E8E">
        <w:t xml:space="preserve">buvo kompensuota </w:t>
      </w:r>
      <w:r w:rsidR="00234E8E" w:rsidRPr="00E44C51">
        <w:t>Europos Sąjungos lėšomis</w:t>
      </w:r>
      <w:r w:rsidR="00234E8E">
        <w:t>.</w:t>
      </w:r>
      <w:r w:rsidR="008944C4" w:rsidRPr="000E1A55">
        <w:rPr>
          <w:szCs w:val="24"/>
          <w:highlight w:val="yellow"/>
        </w:rPr>
        <w:t xml:space="preserve"> </w:t>
      </w:r>
    </w:p>
    <w:p w14:paraId="30A7A1CD" w14:textId="56398803" w:rsidR="00BB7830" w:rsidRDefault="00BB7830" w:rsidP="00571BF6">
      <w:pPr>
        <w:spacing w:line="360" w:lineRule="auto"/>
        <w:ind w:firstLine="709"/>
        <w:jc w:val="both"/>
      </w:pPr>
      <w:r>
        <w:rPr>
          <w:szCs w:val="24"/>
        </w:rPr>
        <w:t xml:space="preserve">Visuomenės sveikatos biuras </w:t>
      </w:r>
      <w:r w:rsidRPr="0000569D">
        <w:rPr>
          <w:szCs w:val="24"/>
        </w:rPr>
        <w:t>panaudojo 6,</w:t>
      </w:r>
      <w:r w:rsidR="00BE3CDF" w:rsidRPr="0000569D">
        <w:rPr>
          <w:szCs w:val="24"/>
        </w:rPr>
        <w:t>8</w:t>
      </w:r>
      <w:r w:rsidRPr="0000569D">
        <w:rPr>
          <w:szCs w:val="24"/>
        </w:rPr>
        <w:t xml:space="preserve"> tūkst. Eur mažiau</w:t>
      </w:r>
      <w:r w:rsidR="000E1A55" w:rsidRPr="0000569D">
        <w:rPr>
          <w:szCs w:val="24"/>
        </w:rPr>
        <w:t>,</w:t>
      </w:r>
      <w:r w:rsidRPr="0000569D">
        <w:rPr>
          <w:szCs w:val="24"/>
        </w:rPr>
        <w:t xml:space="preserve"> negu planavo</w:t>
      </w:r>
      <w:r>
        <w:rPr>
          <w:szCs w:val="24"/>
        </w:rPr>
        <w:t xml:space="preserve">, kadangi nesurinko planuotų 3,0 </w:t>
      </w:r>
      <w:r w:rsidRPr="004A0C30">
        <w:rPr>
          <w:szCs w:val="24"/>
        </w:rPr>
        <w:t>tūkst. Eur biudžetinių</w:t>
      </w:r>
      <w:r w:rsidR="00AB14DE" w:rsidRPr="004A0C30">
        <w:rPr>
          <w:szCs w:val="24"/>
        </w:rPr>
        <w:t xml:space="preserve"> įstaigų</w:t>
      </w:r>
      <w:r w:rsidRPr="004A0C30">
        <w:rPr>
          <w:szCs w:val="24"/>
        </w:rPr>
        <w:t xml:space="preserve"> pajamų</w:t>
      </w:r>
      <w:r w:rsidR="00AB14DE" w:rsidRPr="004A0C30">
        <w:rPr>
          <w:szCs w:val="24"/>
        </w:rPr>
        <w:t xml:space="preserve">, 1,1 tūkst. Eur mažiau panaudojo </w:t>
      </w:r>
      <w:r w:rsidR="00AB14DE" w:rsidRPr="004A0C30">
        <w:t>sveikatos priežiūros specialistų kelion</w:t>
      </w:r>
      <w:r w:rsidR="004A0C30" w:rsidRPr="004A0C30">
        <w:t>ės</w:t>
      </w:r>
      <w:r w:rsidR="00AB14DE" w:rsidRPr="00AF7DF5">
        <w:t xml:space="preserve"> į darbą išlaidų kompensavimui</w:t>
      </w:r>
      <w:r w:rsidR="00BE3CDF">
        <w:t>, d</w:t>
      </w:r>
      <w:r w:rsidR="00AB14DE">
        <w:t>ėl užsitęsusio projekto „</w:t>
      </w:r>
      <w:r w:rsidR="00AB14DE" w:rsidRPr="00AB14DE">
        <w:t>Prevencinių priemonių, stiprinančių visuomenės sveikatą bei psichologinę gerovę ir atsparumą, skatinimas Varėnos rajono savivaldybėje</w:t>
      </w:r>
      <w:r w:rsidR="00AB14DE">
        <w:t xml:space="preserve">“ </w:t>
      </w:r>
      <w:r w:rsidR="00BE3CDF">
        <w:t xml:space="preserve">finansavimo </w:t>
      </w:r>
      <w:r w:rsidR="00AB14DE">
        <w:t>sutarties pasirašymo liko nepanaudota 2,7 tūkst. Eur.</w:t>
      </w:r>
    </w:p>
    <w:p w14:paraId="08CABBA8" w14:textId="638D6955" w:rsidR="000E1A55" w:rsidRPr="00F35699" w:rsidRDefault="000E1A55" w:rsidP="00571BF6">
      <w:pPr>
        <w:spacing w:line="360" w:lineRule="auto"/>
        <w:ind w:firstLine="709"/>
        <w:jc w:val="both"/>
        <w:rPr>
          <w:szCs w:val="24"/>
        </w:rPr>
      </w:pPr>
      <w:r w:rsidRPr="000E1A55">
        <w:t>Varėnos socialinių paslaugų centras panaudojo 3,1 tūkst. Eur mažiau, negu planavo, pacientų pavėžėjimo paslaugų organizavimui.</w:t>
      </w:r>
    </w:p>
    <w:p w14:paraId="6C0517D9" w14:textId="77777777" w:rsidR="00AB7A95" w:rsidRPr="00AF7DF5" w:rsidRDefault="00AB7A95" w:rsidP="00AB7A95">
      <w:pPr>
        <w:ind w:firstLine="709"/>
        <w:jc w:val="both"/>
        <w:rPr>
          <w:i/>
        </w:rPr>
      </w:pPr>
    </w:p>
    <w:p w14:paraId="1A70C07E" w14:textId="77777777" w:rsidR="00AB7A95" w:rsidRPr="000A5656" w:rsidRDefault="00AB7A95" w:rsidP="00AB7A95">
      <w:pPr>
        <w:spacing w:line="360" w:lineRule="auto"/>
        <w:ind w:firstLine="709"/>
        <w:jc w:val="both"/>
        <w:rPr>
          <w:b/>
          <w:bCs/>
          <w:i/>
          <w:caps/>
        </w:rPr>
      </w:pPr>
      <w:r w:rsidRPr="000A5656">
        <w:rPr>
          <w:b/>
          <w:bCs/>
          <w:i/>
          <w:caps/>
        </w:rPr>
        <w:t>Verslo plėtros skatinimo ir užimtumo didinimo programa</w:t>
      </w:r>
    </w:p>
    <w:p w14:paraId="72956189" w14:textId="7F7DD2F5" w:rsidR="00AB7A95" w:rsidRPr="003820B5" w:rsidRDefault="00AB7A95" w:rsidP="00AB7A95">
      <w:pPr>
        <w:spacing w:line="360" w:lineRule="auto"/>
        <w:ind w:firstLine="709"/>
        <w:jc w:val="both"/>
      </w:pPr>
      <w:r w:rsidRPr="003820B5">
        <w:t>202</w:t>
      </w:r>
      <w:r w:rsidR="003820B5" w:rsidRPr="003820B5">
        <w:t>5</w:t>
      </w:r>
      <w:r w:rsidRPr="003820B5">
        <w:t xml:space="preserve"> metais Verslo plėtros skatinimo ir užimtumo didinimo programai įgyvendinti suplanuota </w:t>
      </w:r>
      <w:r w:rsidR="003820B5" w:rsidRPr="003820B5">
        <w:t>446,1</w:t>
      </w:r>
      <w:r w:rsidRPr="003820B5">
        <w:t xml:space="preserve"> tūkst. Eur, panaudota – </w:t>
      </w:r>
      <w:r w:rsidR="003820B5" w:rsidRPr="003820B5">
        <w:t>344,1</w:t>
      </w:r>
      <w:r w:rsidRPr="003820B5">
        <w:t xml:space="preserve"> tūkst. Eur, t. y.</w:t>
      </w:r>
      <w:r w:rsidRPr="003820B5">
        <w:rPr>
          <w:bCs/>
        </w:rPr>
        <w:t xml:space="preserve"> </w:t>
      </w:r>
      <w:r w:rsidR="003820B5" w:rsidRPr="003820B5">
        <w:rPr>
          <w:bCs/>
        </w:rPr>
        <w:t>0</w:t>
      </w:r>
      <w:r w:rsidRPr="003820B5">
        <w:rPr>
          <w:bCs/>
        </w:rPr>
        <w:t xml:space="preserve">,6 proc. visų biudžeto išlaidų. Nepanaudota </w:t>
      </w:r>
      <w:r w:rsidR="003820B5" w:rsidRPr="003820B5">
        <w:rPr>
          <w:bCs/>
        </w:rPr>
        <w:t>102</w:t>
      </w:r>
      <w:r w:rsidRPr="003820B5">
        <w:rPr>
          <w:bCs/>
        </w:rPr>
        <w:t>,0 tūkst. Eur</w:t>
      </w:r>
      <w:r w:rsidRPr="003820B5">
        <w:rPr>
          <w:noProof/>
        </w:rPr>
        <w:t xml:space="preserve"> asignavimų</w:t>
      </w:r>
      <w:r w:rsidRPr="003820B5">
        <w:rPr>
          <w:bCs/>
        </w:rPr>
        <w:t>.</w:t>
      </w:r>
    </w:p>
    <w:p w14:paraId="5958ED74" w14:textId="7911EFA1" w:rsidR="003820B5" w:rsidRPr="008C0E85" w:rsidRDefault="00AB7A95" w:rsidP="00AB7A95">
      <w:pPr>
        <w:spacing w:line="360" w:lineRule="auto"/>
        <w:ind w:firstLine="709"/>
        <w:jc w:val="both"/>
      </w:pPr>
      <w:r w:rsidRPr="00622E05">
        <w:t xml:space="preserve">Smulkiojo ir vidutinio verslo rėmimui panaudota </w:t>
      </w:r>
      <w:r w:rsidR="00103DB6" w:rsidRPr="00622E05">
        <w:t>18,1</w:t>
      </w:r>
      <w:r w:rsidRPr="00622E05">
        <w:t xml:space="preserve"> tūkst. Eur mažiau, negu planuota, kadangi ne visi smulkiojo ir vidutinio verslo subjektų pateikti prašymai atitiko finansavimo sąlygas. </w:t>
      </w:r>
      <w:r w:rsidR="003820B5" w:rsidRPr="003820B5">
        <w:t>Dėl mažesnio lėšų poreikio</w:t>
      </w:r>
      <w:r w:rsidRPr="003820B5">
        <w:t xml:space="preserve"> žemės ūkio veiklos rėmimui buvo panaudota 5,</w:t>
      </w:r>
      <w:r w:rsidR="003820B5" w:rsidRPr="003820B5">
        <w:t>1</w:t>
      </w:r>
      <w:r w:rsidRPr="003820B5">
        <w:t xml:space="preserve"> tūkst. Eur mažiau, negu planuota. </w:t>
      </w:r>
      <w:r w:rsidR="003820B5" w:rsidRPr="003820B5">
        <w:t xml:space="preserve">Dėl užsitęsusio projekto „Dalies melioracijos statinių rekonstravimas Marcinkonių seniūnijoje“ paraiškos vertinimo ir vėliau, negu planuota, pasirašytos paramos sutarties </w:t>
      </w:r>
      <w:r w:rsidR="00970A63" w:rsidRPr="003820B5">
        <w:t>nebuvo panaudot</w:t>
      </w:r>
      <w:r w:rsidR="00970A63">
        <w:t>a</w:t>
      </w:r>
      <w:r w:rsidR="003820B5">
        <w:t xml:space="preserve"> 30,0 tūkst. Eur</w:t>
      </w:r>
      <w:r w:rsidR="003820B5" w:rsidRPr="003820B5">
        <w:t xml:space="preserve"> </w:t>
      </w:r>
      <w:r w:rsidR="00970A63">
        <w:t xml:space="preserve">šiam </w:t>
      </w:r>
      <w:r w:rsidR="003820B5" w:rsidRPr="003820B5">
        <w:t>projektui bendrai finansuoti.</w:t>
      </w:r>
      <w:r w:rsidR="003820B5">
        <w:t xml:space="preserve"> </w:t>
      </w:r>
      <w:r w:rsidR="003820B5" w:rsidRPr="008C0E85">
        <w:t>Melioracijos ir hidrotechnikos statinių priežiūrai ir remontui panaudota 18,4 tūkst. Eur mažiau</w:t>
      </w:r>
      <w:r w:rsidR="00970A63" w:rsidRPr="008C0E85">
        <w:t>,</w:t>
      </w:r>
      <w:r w:rsidR="003820B5" w:rsidRPr="008C0E85">
        <w:t xml:space="preserve"> negu planuota</w:t>
      </w:r>
      <w:r w:rsidR="00744528" w:rsidRPr="008C0E85">
        <w:t xml:space="preserve">, kadangi Varėnos </w:t>
      </w:r>
      <w:r w:rsidR="00970A63" w:rsidRPr="008C0E85">
        <w:t xml:space="preserve">I </w:t>
      </w:r>
      <w:r w:rsidR="00744528" w:rsidRPr="008C0E85">
        <w:t>tvenkinio užtvankos projektavimo darb</w:t>
      </w:r>
      <w:r w:rsidR="008C0E85" w:rsidRPr="008C0E85">
        <w:t>ai bus baigti</w:t>
      </w:r>
      <w:r w:rsidR="00744528" w:rsidRPr="008C0E85">
        <w:t xml:space="preserve"> 2026 m.</w:t>
      </w:r>
    </w:p>
    <w:p w14:paraId="1483FE4C" w14:textId="5672D008" w:rsidR="003820B5" w:rsidRPr="002D5398" w:rsidRDefault="00AB7A95" w:rsidP="00AB7A95">
      <w:pPr>
        <w:spacing w:line="360" w:lineRule="auto"/>
        <w:ind w:firstLine="709"/>
        <w:jc w:val="both"/>
      </w:pPr>
      <w:r w:rsidRPr="00B66D2A">
        <w:t xml:space="preserve">Investicijų pritraukimo ir investuotojų skatinimo veiklų organizavimui panaudota </w:t>
      </w:r>
      <w:r w:rsidR="00103DB6" w:rsidRPr="00B66D2A">
        <w:t>6</w:t>
      </w:r>
      <w:r w:rsidRPr="00B66D2A">
        <w:t>,5 tūkst. Eur mažiau</w:t>
      </w:r>
      <w:r w:rsidR="001D6A67" w:rsidRPr="00B66D2A">
        <w:t xml:space="preserve">, kadangi 2025 m. pasirašyta sutartis dėl rinkodaros ir viešinimo paslaugų, kurių suteikimo terminas numatytas 2026 m. Atitinkamai ir galutinis atsiskaitymas už </w:t>
      </w:r>
      <w:r w:rsidR="008C0E85">
        <w:t xml:space="preserve">šias </w:t>
      </w:r>
      <w:r w:rsidR="001D6A67" w:rsidRPr="00B66D2A">
        <w:t xml:space="preserve">paslaugas persikėlė </w:t>
      </w:r>
      <w:r w:rsidR="001D6A67" w:rsidRPr="002D5398">
        <w:t>į 2026</w:t>
      </w:r>
      <w:r w:rsidR="008C0E85">
        <w:t> </w:t>
      </w:r>
      <w:r w:rsidR="001D6A67" w:rsidRPr="002D5398">
        <w:t>m.</w:t>
      </w:r>
      <w:r w:rsidR="007F6915" w:rsidRPr="002D5398">
        <w:t xml:space="preserve"> </w:t>
      </w:r>
      <w:r w:rsidR="007F6915" w:rsidRPr="002D5398">
        <w:rPr>
          <w:color w:val="000000"/>
        </w:rPr>
        <w:t xml:space="preserve">Verslo plėtros ir </w:t>
      </w:r>
      <w:proofErr w:type="spellStart"/>
      <w:r w:rsidR="007F6915" w:rsidRPr="002D5398">
        <w:rPr>
          <w:color w:val="000000"/>
        </w:rPr>
        <w:t>bendradarbystės</w:t>
      </w:r>
      <w:proofErr w:type="spellEnd"/>
      <w:r w:rsidR="007F6915" w:rsidRPr="002D5398">
        <w:rPr>
          <w:color w:val="000000"/>
        </w:rPr>
        <w:t xml:space="preserve"> skatinimui panaudota 4,5 tūkst. Eur mažiau</w:t>
      </w:r>
      <w:r w:rsidR="008C0E85">
        <w:rPr>
          <w:color w:val="000000"/>
        </w:rPr>
        <w:t>,</w:t>
      </w:r>
      <w:r w:rsidR="007F6915" w:rsidRPr="002D5398">
        <w:rPr>
          <w:color w:val="000000"/>
        </w:rPr>
        <w:t xml:space="preserve"> negu planuota</w:t>
      </w:r>
      <w:r w:rsidR="002D5398" w:rsidRPr="002D5398">
        <w:rPr>
          <w:color w:val="000000"/>
        </w:rPr>
        <w:t>.</w:t>
      </w:r>
    </w:p>
    <w:p w14:paraId="0CE09259" w14:textId="2C37E1E9" w:rsidR="00AB7A95" w:rsidRDefault="002C6025" w:rsidP="00AB7A95">
      <w:pPr>
        <w:spacing w:line="360" w:lineRule="auto"/>
        <w:ind w:firstLine="709"/>
        <w:jc w:val="both"/>
      </w:pPr>
      <w:r w:rsidRPr="002D5398">
        <w:t>Varėnos</w:t>
      </w:r>
      <w:r>
        <w:t xml:space="preserve"> turizmo ir verslumo centras „Korys“ panaudojo </w:t>
      </w:r>
      <w:r w:rsidR="00AD0E55">
        <w:t>15,3</w:t>
      </w:r>
      <w:r>
        <w:t xml:space="preserve"> tūkst. Eur </w:t>
      </w:r>
      <w:r w:rsidR="00AD0E55">
        <w:t>mažia</w:t>
      </w:r>
      <w:r w:rsidR="008C0E85">
        <w:t>u,</w:t>
      </w:r>
      <w:r w:rsidR="00AD0E55">
        <w:t xml:space="preserve"> negu planavo</w:t>
      </w:r>
      <w:r w:rsidR="008C0E85">
        <w:t>,</w:t>
      </w:r>
      <w:r w:rsidR="00AD0E55">
        <w:t xml:space="preserve"> </w:t>
      </w:r>
      <w:r>
        <w:t xml:space="preserve">darbo užmokesčiui ir socialiniam draudimui, kadangi darbuotojai dirbo </w:t>
      </w:r>
      <w:r w:rsidR="00AD0E55">
        <w:t xml:space="preserve">nepilnais etatais bei mažiau panaudojo komunalinėms paslaugoms </w:t>
      </w:r>
      <w:r w:rsidR="00BB2FB3">
        <w:t>bei</w:t>
      </w:r>
      <w:r w:rsidR="00AD0E55">
        <w:t xml:space="preserve"> prekėms </w:t>
      </w:r>
      <w:r w:rsidR="00BB2FB3">
        <w:t>ir</w:t>
      </w:r>
      <w:r w:rsidR="00AD0E55">
        <w:t xml:space="preserve"> paslaugoms</w:t>
      </w:r>
      <w:r w:rsidR="00BB2FB3">
        <w:t xml:space="preserve"> įsigyti</w:t>
      </w:r>
      <w:r w:rsidR="007F6915">
        <w:t>.</w:t>
      </w:r>
      <w:r w:rsidR="00AD0E55">
        <w:t xml:space="preserve"> </w:t>
      </w:r>
    </w:p>
    <w:p w14:paraId="5CE47AD7" w14:textId="76E26947" w:rsidR="005A6279" w:rsidRPr="007B2D56" w:rsidRDefault="005A6279" w:rsidP="005A6279">
      <w:pPr>
        <w:spacing w:line="360" w:lineRule="auto"/>
        <w:ind w:firstLine="709"/>
        <w:jc w:val="both"/>
        <w:rPr>
          <w:color w:val="000000"/>
        </w:rPr>
      </w:pPr>
      <w:r w:rsidRPr="007B2D56">
        <w:rPr>
          <w:color w:val="000000"/>
        </w:rPr>
        <w:t xml:space="preserve">Valstybinėms (valstybės perduotoms savivaldybėms) funkcijoms vykdyti nepanaudota </w:t>
      </w:r>
      <w:r>
        <w:rPr>
          <w:color w:val="000000"/>
        </w:rPr>
        <w:t>6,4</w:t>
      </w:r>
      <w:r w:rsidRPr="007B2D56">
        <w:rPr>
          <w:color w:val="000000"/>
        </w:rPr>
        <w:t xml:space="preserve"> tūkst. Eur</w:t>
      </w:r>
      <w:r>
        <w:rPr>
          <w:color w:val="000000"/>
        </w:rPr>
        <w:t xml:space="preserve"> užimtumo didinimo programų įgyvendinimui.</w:t>
      </w:r>
      <w:r w:rsidRPr="007B2D56">
        <w:rPr>
          <w:color w:val="000000"/>
        </w:rPr>
        <w:t xml:space="preserve"> Nepanaudoti asignavimai grąžinti į valstybės biudžetą.</w:t>
      </w:r>
    </w:p>
    <w:p w14:paraId="2DC397C1" w14:textId="77777777" w:rsidR="005A6279" w:rsidRPr="00FE16F1" w:rsidRDefault="005A6279" w:rsidP="00AB7A95">
      <w:pPr>
        <w:spacing w:line="360" w:lineRule="auto"/>
        <w:ind w:firstLine="709"/>
        <w:jc w:val="both"/>
        <w:rPr>
          <w:color w:val="000000"/>
        </w:rPr>
      </w:pPr>
    </w:p>
    <w:p w14:paraId="1E5B06D9" w14:textId="77777777" w:rsidR="00AB7A95" w:rsidRPr="000A5656" w:rsidRDefault="00AB7A95" w:rsidP="00AB7A95">
      <w:pPr>
        <w:spacing w:line="360" w:lineRule="auto"/>
        <w:ind w:firstLine="709"/>
        <w:jc w:val="both"/>
        <w:rPr>
          <w:b/>
          <w:bCs/>
          <w:i/>
          <w:caps/>
        </w:rPr>
      </w:pPr>
      <w:r w:rsidRPr="000A5656">
        <w:rPr>
          <w:b/>
          <w:bCs/>
          <w:i/>
          <w:caps/>
        </w:rPr>
        <w:t>Turizmo vystymo programa</w:t>
      </w:r>
    </w:p>
    <w:p w14:paraId="2522743F" w14:textId="32402C31" w:rsidR="00AB7A95" w:rsidRPr="00FD06F4" w:rsidRDefault="00AB7A95" w:rsidP="00AB7A95">
      <w:pPr>
        <w:spacing w:line="360" w:lineRule="auto"/>
        <w:ind w:firstLine="709"/>
        <w:jc w:val="both"/>
        <w:rPr>
          <w:bCs/>
        </w:rPr>
      </w:pPr>
      <w:r w:rsidRPr="00332560">
        <w:t>202</w:t>
      </w:r>
      <w:r w:rsidR="00332560" w:rsidRPr="00332560">
        <w:t>5</w:t>
      </w:r>
      <w:r w:rsidRPr="00332560">
        <w:t xml:space="preserve"> metais Turizmo vystymo programai buvo suplanuota </w:t>
      </w:r>
      <w:r w:rsidR="00332560" w:rsidRPr="00332560">
        <w:t>350,9</w:t>
      </w:r>
      <w:r w:rsidRPr="00332560">
        <w:t xml:space="preserve"> tūkst. Eur, panaudota – </w:t>
      </w:r>
      <w:r w:rsidR="00332560" w:rsidRPr="00332560">
        <w:t>177,9</w:t>
      </w:r>
      <w:r w:rsidRPr="00332560">
        <w:t xml:space="preserve"> tūk</w:t>
      </w:r>
      <w:r w:rsidRPr="00FD06F4">
        <w:t>st. Eur,  t. y.</w:t>
      </w:r>
      <w:r w:rsidRPr="00FD06F4">
        <w:rPr>
          <w:bCs/>
        </w:rPr>
        <w:t xml:space="preserve"> 0,</w:t>
      </w:r>
      <w:r w:rsidR="00332560" w:rsidRPr="00FD06F4">
        <w:rPr>
          <w:bCs/>
        </w:rPr>
        <w:t>3</w:t>
      </w:r>
      <w:r w:rsidRPr="00FD06F4">
        <w:rPr>
          <w:bCs/>
        </w:rPr>
        <w:t xml:space="preserve"> proc. visų biudžeto išlaidų. Panaudota </w:t>
      </w:r>
      <w:r w:rsidR="00332560" w:rsidRPr="00FD06F4">
        <w:rPr>
          <w:bCs/>
        </w:rPr>
        <w:t>173,0</w:t>
      </w:r>
      <w:r w:rsidRPr="00FD06F4">
        <w:rPr>
          <w:bCs/>
        </w:rPr>
        <w:t xml:space="preserve"> tūkst. Eur mažiau, nei planuota.</w:t>
      </w:r>
    </w:p>
    <w:p w14:paraId="35D25E51" w14:textId="7DE2C05F" w:rsidR="00AB7A95" w:rsidRPr="00FD06F4" w:rsidRDefault="00AB7A95" w:rsidP="00AB7A95">
      <w:pPr>
        <w:spacing w:line="360" w:lineRule="auto"/>
        <w:ind w:firstLine="709"/>
        <w:jc w:val="both"/>
        <w:rPr>
          <w:bCs/>
        </w:rPr>
      </w:pPr>
      <w:r w:rsidRPr="00FD06F4">
        <w:rPr>
          <w:bCs/>
        </w:rPr>
        <w:t xml:space="preserve">Dėl </w:t>
      </w:r>
      <w:r w:rsidR="00493F4A" w:rsidRPr="00493F4A">
        <w:rPr>
          <w:bCs/>
        </w:rPr>
        <w:t>užtrukusio projektavimo paslaugų vykdymo</w:t>
      </w:r>
      <w:r w:rsidR="00493F4A">
        <w:rPr>
          <w:bCs/>
        </w:rPr>
        <w:t xml:space="preserve"> įgyvendinant projektą „</w:t>
      </w:r>
      <w:r w:rsidR="00493F4A" w:rsidRPr="00493F4A">
        <w:rPr>
          <w:bCs/>
        </w:rPr>
        <w:t>Laisvės kovų maršruto plėtra Varėnos rajono savivaldybėje</w:t>
      </w:r>
      <w:r w:rsidR="00493F4A">
        <w:rPr>
          <w:bCs/>
        </w:rPr>
        <w:t>“</w:t>
      </w:r>
      <w:r w:rsidR="00493F4A" w:rsidRPr="00493F4A">
        <w:rPr>
          <w:bCs/>
        </w:rPr>
        <w:t xml:space="preserve"> </w:t>
      </w:r>
      <w:r w:rsidR="00493F4A">
        <w:rPr>
          <w:bCs/>
        </w:rPr>
        <w:t>bei dėl projekto „</w:t>
      </w:r>
      <w:r w:rsidR="00493F4A" w:rsidRPr="00493F4A">
        <w:rPr>
          <w:bCs/>
        </w:rPr>
        <w:t>Merkio ir Nemuno pritaikymas lankymui, įrengiant upių turizmo trasas</w:t>
      </w:r>
      <w:r w:rsidR="00493F4A">
        <w:rPr>
          <w:bCs/>
        </w:rPr>
        <w:t xml:space="preserve">“ </w:t>
      </w:r>
      <w:r w:rsidR="00493F4A" w:rsidRPr="00FD06F4">
        <w:rPr>
          <w:bCs/>
        </w:rPr>
        <w:t xml:space="preserve">didelės apimties </w:t>
      </w:r>
      <w:r w:rsidR="00332560" w:rsidRPr="00FD06F4">
        <w:rPr>
          <w:bCs/>
        </w:rPr>
        <w:t>veiklų poreikio ir tikslingumo analizės, žemės sklypų naudojimo paskirčių tikslinimo užtruk</w:t>
      </w:r>
      <w:r w:rsidR="00493F4A">
        <w:rPr>
          <w:bCs/>
        </w:rPr>
        <w:t>usio</w:t>
      </w:r>
      <w:r w:rsidR="00332560" w:rsidRPr="00FD06F4">
        <w:rPr>
          <w:bCs/>
        </w:rPr>
        <w:t xml:space="preserve"> projektavimo užduoties parengim</w:t>
      </w:r>
      <w:r w:rsidR="00493F4A">
        <w:rPr>
          <w:bCs/>
        </w:rPr>
        <w:t>o</w:t>
      </w:r>
      <w:r w:rsidRPr="00FD06F4">
        <w:rPr>
          <w:bCs/>
        </w:rPr>
        <w:t xml:space="preserve"> nepanaudotos planuotos lėšos – </w:t>
      </w:r>
      <w:r w:rsidR="00FD06F4" w:rsidRPr="00FD06F4">
        <w:rPr>
          <w:bCs/>
        </w:rPr>
        <w:t>72,0</w:t>
      </w:r>
      <w:r w:rsidRPr="00FD06F4">
        <w:rPr>
          <w:bCs/>
        </w:rPr>
        <w:t xml:space="preserve"> tūkst. Eur – turizmo </w:t>
      </w:r>
      <w:r w:rsidRPr="00FD06F4">
        <w:rPr>
          <w:shd w:val="clear" w:color="auto" w:fill="FFFFFF"/>
        </w:rPr>
        <w:t>trasų ir maršrutų infrastruktūros</w:t>
      </w:r>
      <w:r w:rsidRPr="00FD06F4">
        <w:rPr>
          <w:bCs/>
        </w:rPr>
        <w:t xml:space="preserve"> įrengimui ir gerinimui.</w:t>
      </w:r>
    </w:p>
    <w:p w14:paraId="62792390" w14:textId="5980963B" w:rsidR="00AB7A95" w:rsidRPr="001C6306" w:rsidRDefault="00FD06F4" w:rsidP="00AB7A95">
      <w:pPr>
        <w:spacing w:line="360" w:lineRule="auto"/>
        <w:ind w:firstLine="709"/>
        <w:jc w:val="both"/>
        <w:rPr>
          <w:bCs/>
        </w:rPr>
      </w:pPr>
      <w:r w:rsidRPr="00901CED">
        <w:t>Vietos gyventojų ir bendruomenių verslumo turizmo srityje skatinim</w:t>
      </w:r>
      <w:r w:rsidR="001223F8" w:rsidRPr="00901CED">
        <w:t>ui nepanaudota</w:t>
      </w:r>
      <w:r w:rsidRPr="00901CED">
        <w:t xml:space="preserve"> 10,5 tūkst. Eur</w:t>
      </w:r>
      <w:r w:rsidR="001223F8" w:rsidRPr="00901CED">
        <w:t>, kadangi</w:t>
      </w:r>
      <w:r w:rsidRPr="001C6306">
        <w:t xml:space="preserve"> 2025 m. buvo pasirašyta sutartis, pagal kurią paslaugų suteikimo terminas numatytas 2026 m. Atitinkamai ir galutinis atsiskaitymas už paslaugas persikėlė į 2026 m.</w:t>
      </w:r>
      <w:r w:rsidR="00AB7A95" w:rsidRPr="001C6306">
        <w:rPr>
          <w:bCs/>
        </w:rPr>
        <w:t xml:space="preserve"> </w:t>
      </w:r>
      <w:r w:rsidR="00D2514E" w:rsidRPr="001C6306">
        <w:rPr>
          <w:bCs/>
        </w:rPr>
        <w:t xml:space="preserve">Dėl užsitęsusių </w:t>
      </w:r>
      <w:r w:rsidR="005606AC" w:rsidRPr="001C6306">
        <w:rPr>
          <w:bCs/>
        </w:rPr>
        <w:t xml:space="preserve">viešųjų pirkimų </w:t>
      </w:r>
      <w:r w:rsidR="005606AC">
        <w:rPr>
          <w:bCs/>
        </w:rPr>
        <w:t xml:space="preserve">procedūrų ir </w:t>
      </w:r>
      <w:r w:rsidR="005606AC" w:rsidRPr="001C6306">
        <w:rPr>
          <w:bCs/>
        </w:rPr>
        <w:t>vėlesnio</w:t>
      </w:r>
      <w:r w:rsidR="005606AC">
        <w:rPr>
          <w:bCs/>
        </w:rPr>
        <w:t>,</w:t>
      </w:r>
      <w:r w:rsidR="005606AC" w:rsidRPr="001C6306">
        <w:rPr>
          <w:bCs/>
        </w:rPr>
        <w:t xml:space="preserve"> nei planuota</w:t>
      </w:r>
      <w:r w:rsidR="005606AC">
        <w:rPr>
          <w:bCs/>
        </w:rPr>
        <w:t>,</w:t>
      </w:r>
      <w:r w:rsidR="005606AC" w:rsidRPr="001C6306">
        <w:rPr>
          <w:bCs/>
        </w:rPr>
        <w:t xml:space="preserve"> </w:t>
      </w:r>
      <w:r w:rsidR="00D2514E" w:rsidRPr="001C6306">
        <w:rPr>
          <w:bCs/>
        </w:rPr>
        <w:t>sutarčių sudarymo p</w:t>
      </w:r>
      <w:r w:rsidR="00AB7A95" w:rsidRPr="001C6306">
        <w:rPr>
          <w:bCs/>
        </w:rPr>
        <w:t xml:space="preserve">anaudota </w:t>
      </w:r>
      <w:r w:rsidR="00D2514E" w:rsidRPr="001C6306">
        <w:rPr>
          <w:bCs/>
        </w:rPr>
        <w:t>80,6</w:t>
      </w:r>
      <w:r w:rsidR="00AB7A95" w:rsidRPr="001C6306">
        <w:rPr>
          <w:bCs/>
        </w:rPr>
        <w:t xml:space="preserve"> tūkst. Eur Savivaldybės biudžeto lėšų mažiau naujų turizmo produktų kūrimui ir vystymui bei turizmo informacijos sklaidai</w:t>
      </w:r>
      <w:r w:rsidR="005606AC">
        <w:rPr>
          <w:bCs/>
        </w:rPr>
        <w:t xml:space="preserve">, </w:t>
      </w:r>
      <w:r w:rsidR="005606AC" w:rsidRPr="001C6306">
        <w:rPr>
          <w:bCs/>
        </w:rPr>
        <w:t>6,0 tūkst. Eur</w:t>
      </w:r>
      <w:r w:rsidR="005606AC">
        <w:rPr>
          <w:bCs/>
        </w:rPr>
        <w:t xml:space="preserve"> nepanaudoti projektui</w:t>
      </w:r>
      <w:r w:rsidR="00AB7A95" w:rsidRPr="001C6306">
        <w:rPr>
          <w:bCs/>
        </w:rPr>
        <w:t xml:space="preserve"> </w:t>
      </w:r>
      <w:r w:rsidR="005606AC">
        <w:rPr>
          <w:bCs/>
        </w:rPr>
        <w:t>„</w:t>
      </w:r>
      <w:r w:rsidR="005606AC" w:rsidRPr="005606AC">
        <w:rPr>
          <w:bCs/>
        </w:rPr>
        <w:t>Regiono turizmo paslaugų tinklo ir komunikacinių veiklų sukūrimas ir vystymas</w:t>
      </w:r>
      <w:r w:rsidR="005606AC">
        <w:rPr>
          <w:bCs/>
        </w:rPr>
        <w:t>“ bendrai finansuoti.</w:t>
      </w:r>
    </w:p>
    <w:p w14:paraId="5C5638DB" w14:textId="77777777" w:rsidR="00AB7A95" w:rsidRPr="001C6306" w:rsidRDefault="00AB7A95" w:rsidP="00AB7A95">
      <w:pPr>
        <w:ind w:firstLine="709"/>
        <w:jc w:val="both"/>
        <w:rPr>
          <w:i/>
          <w:caps/>
        </w:rPr>
      </w:pPr>
    </w:p>
    <w:p w14:paraId="72D018D3" w14:textId="77777777" w:rsidR="00AB7A95" w:rsidRPr="000A5656" w:rsidRDefault="00AB7A95" w:rsidP="00AB7A95">
      <w:pPr>
        <w:spacing w:line="360" w:lineRule="auto"/>
        <w:ind w:firstLine="709"/>
        <w:jc w:val="both"/>
        <w:rPr>
          <w:b/>
          <w:bCs/>
          <w:caps/>
        </w:rPr>
      </w:pPr>
      <w:r w:rsidRPr="000A5656">
        <w:rPr>
          <w:b/>
          <w:bCs/>
          <w:i/>
          <w:caps/>
        </w:rPr>
        <w:t>Kultūros programa</w:t>
      </w:r>
    </w:p>
    <w:p w14:paraId="34554CBE" w14:textId="437FCBA2" w:rsidR="00AB7A95" w:rsidRPr="001C6306" w:rsidRDefault="00AB7A95" w:rsidP="00AB7A95">
      <w:pPr>
        <w:spacing w:line="360" w:lineRule="auto"/>
        <w:ind w:firstLine="709"/>
        <w:jc w:val="both"/>
      </w:pPr>
      <w:r w:rsidRPr="001C6306">
        <w:t>202</w:t>
      </w:r>
      <w:r w:rsidR="00373186" w:rsidRPr="001C6306">
        <w:t>5</w:t>
      </w:r>
      <w:r w:rsidRPr="001C6306">
        <w:t xml:space="preserve"> metais šiai programai buvo suplanuota </w:t>
      </w:r>
      <w:r w:rsidR="00373186" w:rsidRPr="001C6306">
        <w:t>4 109,1</w:t>
      </w:r>
      <w:r w:rsidRPr="001C6306">
        <w:t xml:space="preserve"> tūkst. Eur, panaudota – </w:t>
      </w:r>
      <w:r w:rsidR="00373186" w:rsidRPr="001C6306">
        <w:t>4 093,7</w:t>
      </w:r>
      <w:r w:rsidRPr="001C6306">
        <w:t xml:space="preserve"> tūkst. Eur,  t. y. </w:t>
      </w:r>
      <w:r w:rsidR="00373186" w:rsidRPr="001C6306">
        <w:t>7,6</w:t>
      </w:r>
      <w:r w:rsidRPr="001C6306">
        <w:t xml:space="preserve"> proc. visų biudžeto išlaidų. Nepanaudota </w:t>
      </w:r>
      <w:r w:rsidR="00373186" w:rsidRPr="001C6306">
        <w:t>15,4</w:t>
      </w:r>
      <w:r w:rsidRPr="001C6306">
        <w:t xml:space="preserve"> tūkst. Eur</w:t>
      </w:r>
      <w:r w:rsidRPr="001C6306">
        <w:rPr>
          <w:noProof/>
        </w:rPr>
        <w:t xml:space="preserve"> asignavimų</w:t>
      </w:r>
      <w:r w:rsidRPr="001C6306">
        <w:t>.</w:t>
      </w:r>
    </w:p>
    <w:p w14:paraId="5B389695" w14:textId="339A780E" w:rsidR="00AB7A95" w:rsidRPr="001C6306" w:rsidRDefault="00AB7A95" w:rsidP="00AB7A95">
      <w:pPr>
        <w:spacing w:line="360" w:lineRule="auto"/>
        <w:ind w:firstLine="709"/>
        <w:jc w:val="both"/>
      </w:pPr>
      <w:r w:rsidRPr="001C6306">
        <w:t xml:space="preserve">Merkinės krašto muziejus veiklai organizuoti nepanaudojo </w:t>
      </w:r>
      <w:r w:rsidR="00373186" w:rsidRPr="001C6306">
        <w:t>1,9</w:t>
      </w:r>
      <w:r w:rsidRPr="001C6306">
        <w:t xml:space="preserve"> tūkst. Eur Savivaldybės biudžeto lėšų ir </w:t>
      </w:r>
      <w:r w:rsidR="00373186" w:rsidRPr="001C6306">
        <w:t>0,3</w:t>
      </w:r>
      <w:r w:rsidRPr="001C6306">
        <w:t xml:space="preserve"> tūkst. Eur biudžetinių įstaigų pajamų už prekes ir paslaugas. Varėnos </w:t>
      </w:r>
      <w:r w:rsidR="00373186" w:rsidRPr="001C6306">
        <w:t>rajono savivaldybės viešoji biblioteka savo veiklai organizuoti</w:t>
      </w:r>
      <w:r w:rsidRPr="001C6306">
        <w:t xml:space="preserve"> panaudojo </w:t>
      </w:r>
      <w:r w:rsidR="00373186" w:rsidRPr="001C6306">
        <w:t>7,6</w:t>
      </w:r>
      <w:r w:rsidRPr="001C6306">
        <w:t xml:space="preserve"> tūkst. Eur mažiau darbo užmokesčiui bei </w:t>
      </w:r>
      <w:r w:rsidR="003E44D2" w:rsidRPr="001C6306">
        <w:t>komunalinėms</w:t>
      </w:r>
      <w:r w:rsidRPr="001C6306">
        <w:t xml:space="preserve"> paslaugoms</w:t>
      </w:r>
      <w:r w:rsidR="003E44D2" w:rsidRPr="001C6306">
        <w:t>.</w:t>
      </w:r>
      <w:r w:rsidR="0011096F" w:rsidRPr="001C6306">
        <w:t xml:space="preserve"> Varėnos kultūros centras panaudojo 1,3 tūkst. Eur mažiau</w:t>
      </w:r>
      <w:r w:rsidR="003E2AEE">
        <w:t>,</w:t>
      </w:r>
      <w:r w:rsidR="0011096F" w:rsidRPr="001C6306">
        <w:t xml:space="preserve"> negu planavo. 1,3</w:t>
      </w:r>
      <w:r w:rsidRPr="001C6306">
        <w:t xml:space="preserve"> tūkst. Eur mažiau, negu buvo planuota, panaudota </w:t>
      </w:r>
      <w:r w:rsidR="003E2AEE">
        <w:t xml:space="preserve">ir </w:t>
      </w:r>
      <w:r w:rsidRPr="001C6306">
        <w:t>istorinės atminties išsaugojimo iniciatyvų įgyvendinimui.</w:t>
      </w:r>
    </w:p>
    <w:p w14:paraId="3395BBB9" w14:textId="77777777" w:rsidR="0011096F" w:rsidRPr="001C6306" w:rsidRDefault="0011096F" w:rsidP="00AB7A95">
      <w:pPr>
        <w:spacing w:line="360" w:lineRule="auto"/>
        <w:ind w:firstLine="709"/>
        <w:jc w:val="both"/>
      </w:pPr>
    </w:p>
    <w:p w14:paraId="24F5BA82" w14:textId="46B3AFE4" w:rsidR="00AB7A95" w:rsidRPr="000A5656" w:rsidRDefault="00AB7A95" w:rsidP="00AB7A95">
      <w:pPr>
        <w:spacing w:line="360" w:lineRule="auto"/>
        <w:ind w:firstLine="709"/>
        <w:jc w:val="both"/>
        <w:rPr>
          <w:b/>
          <w:bCs/>
          <w:i/>
          <w:caps/>
        </w:rPr>
      </w:pPr>
      <w:r w:rsidRPr="000A5656">
        <w:rPr>
          <w:b/>
          <w:bCs/>
          <w:i/>
          <w:caps/>
        </w:rPr>
        <w:t>Viešosios infrastruktūros plėtros bei priežiūros programa</w:t>
      </w:r>
    </w:p>
    <w:p w14:paraId="0200C1AE" w14:textId="28401200" w:rsidR="00AB7A95" w:rsidRPr="001C6306" w:rsidRDefault="00AB7A95" w:rsidP="00AB7A95">
      <w:pPr>
        <w:spacing w:line="360" w:lineRule="auto"/>
        <w:ind w:firstLine="709"/>
        <w:jc w:val="both"/>
        <w:rPr>
          <w:bCs/>
        </w:rPr>
      </w:pPr>
      <w:r w:rsidRPr="001C6306">
        <w:t>202</w:t>
      </w:r>
      <w:r w:rsidR="00706DA4" w:rsidRPr="001C6306">
        <w:t>5</w:t>
      </w:r>
      <w:r w:rsidRPr="001C6306">
        <w:t xml:space="preserve"> metais Viešosios infrastruktūros plėtros bei priežiūros programai buvo suplanuota </w:t>
      </w:r>
      <w:r w:rsidR="00706DA4" w:rsidRPr="001C6306">
        <w:t>8 309,2</w:t>
      </w:r>
      <w:r w:rsidRPr="001C6306">
        <w:t xml:space="preserve"> tūkst.</w:t>
      </w:r>
      <w:r w:rsidRPr="001C6306">
        <w:rPr>
          <w:bCs/>
        </w:rPr>
        <w:t xml:space="preserve"> Eur, panaudota </w:t>
      </w:r>
      <w:r w:rsidRPr="001C6306">
        <w:t>–</w:t>
      </w:r>
      <w:r w:rsidRPr="001C6306">
        <w:rPr>
          <w:bCs/>
        </w:rPr>
        <w:t xml:space="preserve"> </w:t>
      </w:r>
      <w:r w:rsidR="00706DA4" w:rsidRPr="001C6306">
        <w:rPr>
          <w:bCs/>
        </w:rPr>
        <w:t>6 827,3</w:t>
      </w:r>
      <w:r w:rsidRPr="001C6306">
        <w:rPr>
          <w:bCs/>
        </w:rPr>
        <w:t xml:space="preserve"> tūkst. Eur, t. y. </w:t>
      </w:r>
      <w:r w:rsidR="00706DA4" w:rsidRPr="001C6306">
        <w:rPr>
          <w:bCs/>
        </w:rPr>
        <w:t>12,8</w:t>
      </w:r>
      <w:r w:rsidRPr="001C6306">
        <w:rPr>
          <w:bCs/>
        </w:rPr>
        <w:t xml:space="preserve"> proc. visų biudžeto išlaidų. Nepanaudota </w:t>
      </w:r>
      <w:r w:rsidR="00706DA4" w:rsidRPr="001C6306">
        <w:rPr>
          <w:bCs/>
        </w:rPr>
        <w:t>1 481,9</w:t>
      </w:r>
      <w:r w:rsidRPr="001C6306">
        <w:rPr>
          <w:bCs/>
        </w:rPr>
        <w:t xml:space="preserve"> tūkst. Eur</w:t>
      </w:r>
      <w:r w:rsidRPr="001C6306">
        <w:rPr>
          <w:bCs/>
          <w:noProof/>
        </w:rPr>
        <w:t xml:space="preserve"> asignavimų</w:t>
      </w:r>
      <w:r w:rsidRPr="001C6306">
        <w:rPr>
          <w:bCs/>
        </w:rPr>
        <w:t xml:space="preserve">. </w:t>
      </w:r>
    </w:p>
    <w:p w14:paraId="7727994E" w14:textId="3DA674CB" w:rsidR="00AE0B2C" w:rsidRPr="00901CED" w:rsidRDefault="00461628" w:rsidP="00AE0B2C">
      <w:pPr>
        <w:spacing w:line="360" w:lineRule="auto"/>
        <w:ind w:firstLine="709"/>
        <w:jc w:val="both"/>
      </w:pPr>
      <w:r w:rsidRPr="001C6306">
        <w:t>Kelių ir takų įrengimui, rekonstravimui ir kapitaliniam remontui nepanaudota 924,2 tūkst. Eur, kadangi</w:t>
      </w:r>
      <w:r w:rsidR="00AE0B2C" w:rsidRPr="001C6306">
        <w:t xml:space="preserve"> 2025 m. </w:t>
      </w:r>
      <w:r w:rsidRPr="001C6306">
        <w:t xml:space="preserve">buvo planuota baigti </w:t>
      </w:r>
      <w:r w:rsidR="0072464C">
        <w:t xml:space="preserve">Varėnos m. </w:t>
      </w:r>
      <w:r w:rsidRPr="001C6306">
        <w:t xml:space="preserve">Savanorių g. rekonstrukcijos darbus, tačiau dėl netikėtai atrasto senovinio grindinio ir nepalankių oro sąlygų darbai persikėlė į 2026 m. Taip pat </w:t>
      </w:r>
      <w:r w:rsidRPr="001C6306">
        <w:lastRenderedPageBreak/>
        <w:t xml:space="preserve">planuota atlikti </w:t>
      </w:r>
      <w:proofErr w:type="spellStart"/>
      <w:r w:rsidRPr="001C6306">
        <w:t>Krivilių</w:t>
      </w:r>
      <w:proofErr w:type="spellEnd"/>
      <w:r w:rsidRPr="001C6306">
        <w:t xml:space="preserve"> k</w:t>
      </w:r>
      <w:r w:rsidR="0072464C">
        <w:t>.</w:t>
      </w:r>
      <w:r w:rsidRPr="001C6306">
        <w:t xml:space="preserve"> Alksnyno ir Sodų gatvių statybos darbus, tačiau pradėjus juos vykdyti paaiškėjo, kad yra nesutapimų tarp projekto inžinerinių tinklų sprendinių, todėl darbai buvo sustabdyti, kol bus patikslinti projekto sprendiniai.</w:t>
      </w:r>
      <w:r w:rsidR="00AE0B2C" w:rsidRPr="001C6306">
        <w:t xml:space="preserve"> Dėl mažesnio darbų poreikio</w:t>
      </w:r>
      <w:r w:rsidR="0072464C">
        <w:t>,</w:t>
      </w:r>
      <w:r w:rsidR="00AE0B2C" w:rsidRPr="001C6306">
        <w:t xml:space="preserve"> negu planuota, liko nepanaudota 232,9 tūkst. Eur kelių priežiūrai. </w:t>
      </w:r>
      <w:r w:rsidR="00AE0B2C" w:rsidRPr="00901CED">
        <w:t>Kelių ir takų paprastajam remontui liko nepanaudota 22,5 tūkst. Eur, kadangi dalis darbų dėl nepalankių oro sąlygų persikėlė į 2026 m.</w:t>
      </w:r>
    </w:p>
    <w:p w14:paraId="3736EE93" w14:textId="5DA65EE3" w:rsidR="008B2614" w:rsidRPr="00901CED" w:rsidRDefault="008B2614" w:rsidP="00AE0B2C">
      <w:pPr>
        <w:spacing w:line="360" w:lineRule="auto"/>
        <w:ind w:firstLine="709"/>
        <w:jc w:val="both"/>
      </w:pPr>
      <w:r w:rsidRPr="00901CED">
        <w:t>Dėl papildomo poreikio derinti viešojo pirkimo dokumentus su projektą administruojančia agentūra ir dėl to užtrukusių pirkimo procedūrų projektui „Viešojo transporto sistemos Varėnos rajone skaitmenizavimas“ bendrai finansuoti nepanaudota 20,6 tūkst. Eur Savivaldybės biudžeto lėšų.</w:t>
      </w:r>
    </w:p>
    <w:p w14:paraId="7212E961" w14:textId="37CB6A6B" w:rsidR="00AB7A95" w:rsidRDefault="00BB12F0" w:rsidP="00720D84">
      <w:pPr>
        <w:spacing w:line="360" w:lineRule="auto"/>
        <w:ind w:firstLine="709"/>
        <w:jc w:val="both"/>
      </w:pPr>
      <w:r w:rsidRPr="00901CED">
        <w:rPr>
          <w:bCs/>
        </w:rPr>
        <w:t>Dėl mažesnio poreikio</w:t>
      </w:r>
      <w:r w:rsidR="0072464C" w:rsidRPr="00901CED">
        <w:rPr>
          <w:bCs/>
        </w:rPr>
        <w:t>,</w:t>
      </w:r>
      <w:r w:rsidRPr="00901CED">
        <w:rPr>
          <w:bCs/>
        </w:rPr>
        <w:t xml:space="preserve"> nei planuota, </w:t>
      </w:r>
      <w:r w:rsidR="00AE0B2C" w:rsidRPr="00901CED">
        <w:rPr>
          <w:bCs/>
        </w:rPr>
        <w:t>23,0</w:t>
      </w:r>
      <w:r w:rsidR="00AB7A95" w:rsidRPr="00901CED">
        <w:rPr>
          <w:bCs/>
        </w:rPr>
        <w:t xml:space="preserve"> tūkst. Eur mažiau</w:t>
      </w:r>
      <w:r w:rsidRPr="00901CED">
        <w:rPr>
          <w:bCs/>
        </w:rPr>
        <w:t xml:space="preserve"> </w:t>
      </w:r>
      <w:r w:rsidR="00AB7A95" w:rsidRPr="00901CED">
        <w:rPr>
          <w:bCs/>
        </w:rPr>
        <w:t xml:space="preserve">panaudota Savivaldybei priklausančių pastatų (patalpų) griovimui, remontui, naujų pastatų ir žemės sklypų įsigijimui. </w:t>
      </w:r>
      <w:r w:rsidR="00AE0B2C" w:rsidRPr="00901CED">
        <w:rPr>
          <w:bCs/>
        </w:rPr>
        <w:t>24,5</w:t>
      </w:r>
      <w:r w:rsidR="0072464C" w:rsidRPr="00901CED">
        <w:rPr>
          <w:bCs/>
        </w:rPr>
        <w:t> </w:t>
      </w:r>
      <w:r w:rsidR="00AB7A95" w:rsidRPr="00901CED">
        <w:rPr>
          <w:bCs/>
        </w:rPr>
        <w:t>tūkst. Eur mažiau panaudota komunalinių paslaugų teikimui</w:t>
      </w:r>
      <w:r w:rsidR="002B0C83">
        <w:rPr>
          <w:bCs/>
        </w:rPr>
        <w:t xml:space="preserve"> bei 9,5 tūkst. Eur mažiau </w:t>
      </w:r>
      <w:r w:rsidR="00D1109E">
        <w:rPr>
          <w:bCs/>
        </w:rPr>
        <w:t>–</w:t>
      </w:r>
      <w:r w:rsidR="002B0C83">
        <w:rPr>
          <w:bCs/>
        </w:rPr>
        <w:t xml:space="preserve"> daugiabučių gyvenamųjų namų savininkų rėmimui</w:t>
      </w:r>
      <w:r w:rsidR="00AB7A95" w:rsidRPr="001C6306">
        <w:rPr>
          <w:bCs/>
        </w:rPr>
        <w:t xml:space="preserve">. </w:t>
      </w:r>
      <w:r w:rsidRPr="001C6306">
        <w:t>Užsitęsus kitos paskirties inžinerinių statinių Žiedo g. 6, Varėnos m.</w:t>
      </w:r>
      <w:r w:rsidR="00D1109E">
        <w:t>,</w:t>
      </w:r>
      <w:r w:rsidRPr="001C6306">
        <w:t xml:space="preserve"> supaprastinto statybos projekto rengimui, 16,4</w:t>
      </w:r>
      <w:r w:rsidR="00AB7A95" w:rsidRPr="001C6306">
        <w:t xml:space="preserve"> tūkst. Eur mažiau panaudota priemonei „Kapinių teritorijų plėtra, tvarkymas, priežiūra, kapinių tvorų ir vartų įrengimas“ įgyvendinti</w:t>
      </w:r>
      <w:r w:rsidR="001C6306" w:rsidRPr="001C6306">
        <w:t xml:space="preserve">, kadangi apmokėjimas už šias paslaugas bus vykdomas 2026 m. </w:t>
      </w:r>
      <w:r w:rsidR="00AB7A95" w:rsidRPr="001C6306">
        <w:t xml:space="preserve"> Rekreacinių teritorijų ir infrastruktūros įrengimui ir priežiūrai panaudota </w:t>
      </w:r>
      <w:r w:rsidR="001C6306" w:rsidRPr="001C6306">
        <w:t>49,0</w:t>
      </w:r>
      <w:r w:rsidR="00AB7A95" w:rsidRPr="001C6306">
        <w:t xml:space="preserve"> tūkst. Eur mažiau, negu planuota, kadangi </w:t>
      </w:r>
      <w:r w:rsidR="001C6306" w:rsidRPr="001C6306">
        <w:t xml:space="preserve">dalis darbų (teritorijos šalia paminklo 1863 m. sukilimo dalyviams Dubičių k. atnaujinimas ir vaikų žaidimų aikštelės įrengimas Valkininkų mstl.) dėl užtrukusių </w:t>
      </w:r>
      <w:r w:rsidR="00D1109E">
        <w:t xml:space="preserve">viešųjų </w:t>
      </w:r>
      <w:r w:rsidR="001C6306" w:rsidRPr="001C6306">
        <w:t>pirkim</w:t>
      </w:r>
      <w:r w:rsidR="00D1109E">
        <w:t>ų</w:t>
      </w:r>
      <w:r w:rsidR="001C6306" w:rsidRPr="001C6306">
        <w:t xml:space="preserve"> procedūrų ir oro sąlygų persikėlė į 2026 m.</w:t>
      </w:r>
      <w:r w:rsidR="00720D84">
        <w:t xml:space="preserve"> </w:t>
      </w:r>
      <w:r w:rsidR="00720D84" w:rsidRPr="00720D84">
        <w:t>Užtrukus Krūminių k. valyklos vietos derinimui su bendruomene, planuoti darbai persikėlė į 2026 m., todėl 92,5</w:t>
      </w:r>
      <w:r w:rsidR="00AB7A95" w:rsidRPr="00720D84">
        <w:t xml:space="preserve"> tūkst. Eur mažiau, negu buvo planuota, panaudota Savivaldybės infrastruktūros plėtros priemonių vykdymui.</w:t>
      </w:r>
    </w:p>
    <w:p w14:paraId="765BDAEC" w14:textId="535DAC54" w:rsidR="00720D84" w:rsidRPr="00720D84" w:rsidRDefault="00720D84" w:rsidP="00720D84">
      <w:pPr>
        <w:spacing w:line="360" w:lineRule="auto"/>
        <w:ind w:firstLine="709"/>
        <w:jc w:val="both"/>
        <w:rPr>
          <w:bCs/>
          <w:highlight w:val="yellow"/>
        </w:rPr>
      </w:pPr>
      <w:r>
        <w:t>Atlikus mažiau kadastrinių matavimų</w:t>
      </w:r>
      <w:r w:rsidR="00D1109E">
        <w:t>,</w:t>
      </w:r>
      <w:r>
        <w:t xml:space="preserve"> negu planuota</w:t>
      </w:r>
      <w:r w:rsidR="00D1109E">
        <w:t>,</w:t>
      </w:r>
      <w:r>
        <w:t xml:space="preserve"> liko nepanaudota 14,8 tūkst. Eur asignavimų </w:t>
      </w:r>
      <w:r w:rsidR="00D1109E">
        <w:t>įgyvendinant priemonę „</w:t>
      </w:r>
      <w:r w:rsidR="00D1109E" w:rsidRPr="00D1109E">
        <w:t>Nekilnojamojo turto kadastrinių matavimų atlikimas, paskirties keitimas, vertės nustatymas, teisinės registracijos ir kitų procedūrų vykdymas</w:t>
      </w:r>
      <w:r w:rsidR="00D1109E">
        <w:t xml:space="preserve">“. </w:t>
      </w:r>
      <w:r w:rsidR="007459FB">
        <w:t>9,1 tūkst. Eur mažiau panaudota teritorijų planavimo dokumentų rengimui.</w:t>
      </w:r>
    </w:p>
    <w:p w14:paraId="65F9C8D4" w14:textId="77777777" w:rsidR="00AB7A95" w:rsidRPr="00AB7A95" w:rsidRDefault="00AB7A95" w:rsidP="00AB7A95">
      <w:pPr>
        <w:ind w:firstLine="709"/>
        <w:jc w:val="both"/>
        <w:rPr>
          <w:i/>
          <w:caps/>
          <w:highlight w:val="yellow"/>
        </w:rPr>
      </w:pPr>
    </w:p>
    <w:p w14:paraId="3A9A559E" w14:textId="77777777" w:rsidR="00AB7A95" w:rsidRPr="000A5656" w:rsidRDefault="00AB7A95" w:rsidP="00AB7A95">
      <w:pPr>
        <w:spacing w:line="360" w:lineRule="auto"/>
        <w:ind w:firstLine="709"/>
        <w:jc w:val="both"/>
        <w:rPr>
          <w:b/>
          <w:bCs/>
          <w:i/>
          <w:caps/>
        </w:rPr>
      </w:pPr>
      <w:r w:rsidRPr="000A5656">
        <w:rPr>
          <w:b/>
          <w:bCs/>
          <w:i/>
          <w:caps/>
        </w:rPr>
        <w:t xml:space="preserve">Aplinkos apsaugos programa </w:t>
      </w:r>
    </w:p>
    <w:p w14:paraId="4DD357C1" w14:textId="6B455A29" w:rsidR="00AB7A95" w:rsidRPr="00FB79EF" w:rsidRDefault="00AB7A95" w:rsidP="00AB7A95">
      <w:pPr>
        <w:spacing w:line="360" w:lineRule="auto"/>
        <w:ind w:firstLine="709"/>
        <w:jc w:val="both"/>
        <w:rPr>
          <w:bCs/>
        </w:rPr>
      </w:pPr>
      <w:r w:rsidRPr="00FB79EF">
        <w:t>202</w:t>
      </w:r>
      <w:r w:rsidR="00FB79EF" w:rsidRPr="00FB79EF">
        <w:t>5</w:t>
      </w:r>
      <w:r w:rsidRPr="00FB79EF">
        <w:t xml:space="preserve"> metais Aplinkos apsaugos programai įgyvendinti buvo suplanuota  </w:t>
      </w:r>
      <w:r w:rsidR="00FB79EF" w:rsidRPr="00FB79EF">
        <w:t>2 320,2</w:t>
      </w:r>
      <w:r w:rsidRPr="00FB79EF">
        <w:t xml:space="preserve"> tūkst. Eur, panaudota – </w:t>
      </w:r>
      <w:r w:rsidR="00FB79EF" w:rsidRPr="00FB79EF">
        <w:t>1 933,5</w:t>
      </w:r>
      <w:r w:rsidRPr="00FB79EF">
        <w:t xml:space="preserve"> tūkst. Eur, t. y.</w:t>
      </w:r>
      <w:r w:rsidRPr="00FB79EF">
        <w:rPr>
          <w:bCs/>
        </w:rPr>
        <w:t xml:space="preserve"> </w:t>
      </w:r>
      <w:r w:rsidR="00FB79EF" w:rsidRPr="00FB79EF">
        <w:rPr>
          <w:bCs/>
        </w:rPr>
        <w:t>3,6</w:t>
      </w:r>
      <w:r w:rsidRPr="00FB79EF">
        <w:rPr>
          <w:bCs/>
        </w:rPr>
        <w:t xml:space="preserve"> proc. visų biudžeto išlaidų. Nepanaudota </w:t>
      </w:r>
      <w:r w:rsidR="00FB79EF" w:rsidRPr="00FB79EF">
        <w:rPr>
          <w:bCs/>
        </w:rPr>
        <w:t>386,7</w:t>
      </w:r>
      <w:r w:rsidRPr="00FB79EF">
        <w:rPr>
          <w:bCs/>
        </w:rPr>
        <w:t xml:space="preserve"> tūkst. Eur</w:t>
      </w:r>
      <w:r w:rsidRPr="00FB79EF">
        <w:rPr>
          <w:noProof/>
        </w:rPr>
        <w:t xml:space="preserve"> asignavimų</w:t>
      </w:r>
      <w:r w:rsidRPr="00FB79EF">
        <w:rPr>
          <w:bCs/>
        </w:rPr>
        <w:t>.</w:t>
      </w:r>
    </w:p>
    <w:p w14:paraId="7570002E" w14:textId="4E917225" w:rsidR="00AB7A95" w:rsidRPr="009047E9" w:rsidRDefault="00AB7A95" w:rsidP="00D1109E">
      <w:pPr>
        <w:spacing w:line="360" w:lineRule="auto"/>
        <w:ind w:firstLine="709"/>
        <w:jc w:val="both"/>
      </w:pPr>
      <w:r w:rsidRPr="009047E9">
        <w:rPr>
          <w:bCs/>
        </w:rPr>
        <w:t xml:space="preserve">Dėl mažesnio poreikio, negu planuota, </w:t>
      </w:r>
      <w:r w:rsidR="005E22DB" w:rsidRPr="009047E9">
        <w:rPr>
          <w:bCs/>
        </w:rPr>
        <w:t>35,5</w:t>
      </w:r>
      <w:r w:rsidRPr="009047E9">
        <w:rPr>
          <w:bCs/>
        </w:rPr>
        <w:t xml:space="preserve"> tūkst. Eur mažiau Savivaldybės biudžeto lėšų panaudota asbesto turinčių gaminių atliekų surinkimui, transportavimui ir šalinimui.</w:t>
      </w:r>
      <w:r w:rsidR="009047E9">
        <w:rPr>
          <w:bCs/>
        </w:rPr>
        <w:t xml:space="preserve"> </w:t>
      </w:r>
      <w:r w:rsidRPr="009047E9">
        <w:t xml:space="preserve">Nepanaudota </w:t>
      </w:r>
      <w:r w:rsidR="009047E9" w:rsidRPr="009047E9">
        <w:t>166,4</w:t>
      </w:r>
      <w:r w:rsidRPr="009047E9">
        <w:t xml:space="preserve"> tūkst. Eur Savivaldybės aplinkos apsaugos rėmimo specialiosios programos lėšų, kurios yra tikslinės paskirties ir bus naudojamos 202</w:t>
      </w:r>
      <w:r w:rsidR="009047E9" w:rsidRPr="009047E9">
        <w:t>6</w:t>
      </w:r>
      <w:r w:rsidRPr="009047E9">
        <w:t xml:space="preserve"> m. </w:t>
      </w:r>
      <w:bookmarkStart w:id="4" w:name="_Hlk189560349"/>
      <w:r w:rsidR="009047E9" w:rsidRPr="009047E9">
        <w:t>L</w:t>
      </w:r>
      <w:r w:rsidRPr="009047E9">
        <w:t xml:space="preserve">iko nepanaudota </w:t>
      </w:r>
      <w:r w:rsidR="009047E9" w:rsidRPr="009047E9">
        <w:t>55,5</w:t>
      </w:r>
      <w:r w:rsidRPr="009047E9">
        <w:t xml:space="preserve"> tūkst. Eur</w:t>
      </w:r>
      <w:r w:rsidR="009047E9" w:rsidRPr="009047E9">
        <w:t xml:space="preserve"> vietinės rinkliavos </w:t>
      </w:r>
      <w:r w:rsidR="009047E9" w:rsidRPr="009047E9">
        <w:lastRenderedPageBreak/>
        <w:t>už komunalinių atliekų surinkimą</w:t>
      </w:r>
      <w:r w:rsidR="009047E9">
        <w:t>,</w:t>
      </w:r>
      <w:r w:rsidR="009047E9" w:rsidRPr="009047E9">
        <w:t xml:space="preserve"> organizavimą ir vykdymą</w:t>
      </w:r>
      <w:r w:rsidRPr="009047E9">
        <w:t>, kadangi sąskaita už 202</w:t>
      </w:r>
      <w:r w:rsidR="009047E9" w:rsidRPr="009047E9">
        <w:t>5</w:t>
      </w:r>
      <w:r w:rsidRPr="009047E9">
        <w:t xml:space="preserve"> m. gruodžio mėn. pateikta tik 202</w:t>
      </w:r>
      <w:r w:rsidR="009047E9" w:rsidRPr="009047E9">
        <w:t>6</w:t>
      </w:r>
      <w:r w:rsidRPr="009047E9">
        <w:t xml:space="preserve"> m. sausio mėn.</w:t>
      </w:r>
    </w:p>
    <w:bookmarkEnd w:id="4"/>
    <w:p w14:paraId="64C3DE51" w14:textId="4D1CD21F" w:rsidR="00AB7A95" w:rsidRPr="005C0514" w:rsidRDefault="00C425C5" w:rsidP="00D1109E">
      <w:pPr>
        <w:spacing w:line="360" w:lineRule="auto"/>
        <w:ind w:firstLine="709"/>
        <w:jc w:val="both"/>
      </w:pPr>
      <w:r w:rsidRPr="005C0514">
        <w:t xml:space="preserve">Užtrukus sprendinių </w:t>
      </w:r>
      <w:r w:rsidRPr="00901CED">
        <w:t>derinimui, planuoti paviršinių nuotekų tinklų įrengimo darbai persikėlė į 2026 m.</w:t>
      </w:r>
      <w:r w:rsidR="005C0514" w:rsidRPr="00901CED">
        <w:t>, todėl</w:t>
      </w:r>
      <w:r w:rsidRPr="00901CED">
        <w:rPr>
          <w:bCs/>
        </w:rPr>
        <w:t xml:space="preserve"> </w:t>
      </w:r>
      <w:r w:rsidR="005C0514" w:rsidRPr="00901CED">
        <w:rPr>
          <w:bCs/>
        </w:rPr>
        <w:t>l</w:t>
      </w:r>
      <w:r w:rsidR="009047E9" w:rsidRPr="00901CED">
        <w:rPr>
          <w:bCs/>
        </w:rPr>
        <w:t xml:space="preserve">iko nepanaudota </w:t>
      </w:r>
      <w:r w:rsidRPr="00901CED">
        <w:rPr>
          <w:bCs/>
        </w:rPr>
        <w:t>45,</w:t>
      </w:r>
      <w:r w:rsidR="00901CED" w:rsidRPr="00901CED">
        <w:rPr>
          <w:bCs/>
        </w:rPr>
        <w:t>1</w:t>
      </w:r>
      <w:r w:rsidR="009047E9" w:rsidRPr="00901CED">
        <w:rPr>
          <w:bCs/>
        </w:rPr>
        <w:t xml:space="preserve"> tūkst. Eur</w:t>
      </w:r>
      <w:r w:rsidRPr="00901CED">
        <w:rPr>
          <w:bCs/>
        </w:rPr>
        <w:t xml:space="preserve"> suplanuotų</w:t>
      </w:r>
      <w:r w:rsidR="009047E9" w:rsidRPr="00901CED">
        <w:rPr>
          <w:bCs/>
        </w:rPr>
        <w:t xml:space="preserve"> asignavimų </w:t>
      </w:r>
      <w:r w:rsidR="00D1109E" w:rsidRPr="00901CED">
        <w:rPr>
          <w:bCs/>
        </w:rPr>
        <w:t>priemonei „Nutekamojo vandens surinkimo tinklų plėtra ir nutekamojo vandens valymas</w:t>
      </w:r>
      <w:r w:rsidR="00D1109E">
        <w:rPr>
          <w:bCs/>
        </w:rPr>
        <w:t xml:space="preserve">“ įgyvendinti. </w:t>
      </w:r>
      <w:r w:rsidR="00AB7A95" w:rsidRPr="005C0514">
        <w:t xml:space="preserve">Buitinių nuotekų ir vandentiekio tinklų plėtrai panaudota </w:t>
      </w:r>
      <w:r w:rsidRPr="005C0514">
        <w:t>79,8</w:t>
      </w:r>
      <w:r w:rsidR="00AB7A95" w:rsidRPr="005C0514">
        <w:t xml:space="preserve"> tūkst. Eur mažiau, kadangi </w:t>
      </w:r>
      <w:r w:rsidRPr="005C0514">
        <w:t>buvo mažesnis poreikis</w:t>
      </w:r>
      <w:r w:rsidR="00F80A71">
        <w:t>,</w:t>
      </w:r>
      <w:r w:rsidRPr="005C0514">
        <w:t xml:space="preserve"> negu planuota.</w:t>
      </w:r>
    </w:p>
    <w:p w14:paraId="4934C223" w14:textId="77777777" w:rsidR="00AB7A95" w:rsidRPr="00AB7A95" w:rsidRDefault="00AB7A95" w:rsidP="00D1109E">
      <w:pPr>
        <w:ind w:firstLine="709"/>
        <w:jc w:val="both"/>
        <w:rPr>
          <w:highlight w:val="yellow"/>
        </w:rPr>
      </w:pPr>
    </w:p>
    <w:p w14:paraId="08088419" w14:textId="77777777" w:rsidR="00AB7A95" w:rsidRPr="000A5656" w:rsidRDefault="00AB7A95" w:rsidP="00AB7A95">
      <w:pPr>
        <w:spacing w:line="360" w:lineRule="auto"/>
        <w:ind w:firstLine="709"/>
        <w:jc w:val="both"/>
        <w:rPr>
          <w:b/>
          <w:bCs/>
          <w:caps/>
        </w:rPr>
      </w:pPr>
      <w:r w:rsidRPr="000A5656">
        <w:rPr>
          <w:b/>
          <w:bCs/>
          <w:i/>
          <w:caps/>
        </w:rPr>
        <w:t>Savivaldybės valdymo programa</w:t>
      </w:r>
    </w:p>
    <w:p w14:paraId="49C05C38" w14:textId="1EBD1E1E" w:rsidR="00AB7A95" w:rsidRPr="003E532D" w:rsidRDefault="00AB7A95" w:rsidP="00AB7A95">
      <w:pPr>
        <w:spacing w:line="360" w:lineRule="auto"/>
        <w:ind w:firstLine="709"/>
        <w:jc w:val="both"/>
        <w:rPr>
          <w:bCs/>
        </w:rPr>
      </w:pPr>
      <w:r w:rsidRPr="003E532D">
        <w:t>202</w:t>
      </w:r>
      <w:r w:rsidR="00621FDA" w:rsidRPr="003E532D">
        <w:t>5</w:t>
      </w:r>
      <w:r w:rsidRPr="003E532D">
        <w:t xml:space="preserve"> metais Savivaldybės valdymo programai buvo suplanuota 6</w:t>
      </w:r>
      <w:r w:rsidR="003E532D" w:rsidRPr="003E532D">
        <w:t> 826,9</w:t>
      </w:r>
      <w:r w:rsidRPr="003E532D">
        <w:t xml:space="preserve"> tūkst. Eur, panaudota – </w:t>
      </w:r>
      <w:r w:rsidR="003E532D" w:rsidRPr="003E532D">
        <w:t>6 611,4</w:t>
      </w:r>
      <w:r w:rsidRPr="003E532D">
        <w:t xml:space="preserve"> tūkst. Eur, </w:t>
      </w:r>
      <w:r w:rsidRPr="003E532D">
        <w:rPr>
          <w:bCs/>
        </w:rPr>
        <w:t>t. y. 12,</w:t>
      </w:r>
      <w:r w:rsidR="003E532D" w:rsidRPr="003E532D">
        <w:rPr>
          <w:bCs/>
        </w:rPr>
        <w:t>4</w:t>
      </w:r>
      <w:r w:rsidRPr="003E532D">
        <w:rPr>
          <w:bCs/>
        </w:rPr>
        <w:t xml:space="preserve"> proc. visų biudžeto išlaidų. Nepanaudota </w:t>
      </w:r>
      <w:r w:rsidR="003E532D" w:rsidRPr="003E532D">
        <w:rPr>
          <w:bCs/>
        </w:rPr>
        <w:t>215,5</w:t>
      </w:r>
      <w:r w:rsidRPr="003E532D">
        <w:rPr>
          <w:bCs/>
        </w:rPr>
        <w:t xml:space="preserve"> tūkst. Eur</w:t>
      </w:r>
      <w:r w:rsidRPr="003E532D">
        <w:rPr>
          <w:noProof/>
        </w:rPr>
        <w:t xml:space="preserve"> asignavimų</w:t>
      </w:r>
      <w:r w:rsidRPr="003E532D">
        <w:rPr>
          <w:bCs/>
        </w:rPr>
        <w:t>.</w:t>
      </w:r>
    </w:p>
    <w:p w14:paraId="739E9F77" w14:textId="71DDA060" w:rsidR="00AB7A95" w:rsidRPr="00AB7A95" w:rsidRDefault="00AB7A95" w:rsidP="00AB7A95">
      <w:pPr>
        <w:spacing w:line="360" w:lineRule="auto"/>
        <w:ind w:firstLine="709"/>
        <w:jc w:val="both"/>
        <w:rPr>
          <w:bCs/>
          <w:highlight w:val="yellow"/>
        </w:rPr>
      </w:pPr>
      <w:r w:rsidRPr="00FF0072">
        <w:rPr>
          <w:bCs/>
        </w:rPr>
        <w:t xml:space="preserve">Dėl darbuotojų laikinojo nedarbingumo ir neužimtų pareigybių buvo sutaupyta </w:t>
      </w:r>
      <w:r w:rsidR="00FF0072" w:rsidRPr="00FF0072">
        <w:rPr>
          <w:bCs/>
        </w:rPr>
        <w:t>2,3</w:t>
      </w:r>
      <w:r w:rsidRPr="00FF0072">
        <w:rPr>
          <w:bCs/>
        </w:rPr>
        <w:t xml:space="preserve"> tūkst. Eur, skirtų Savivaldybės administracijos ir seniūnijų darbuotojų darbo užmokesčiui ir socialiniam draudimui. </w:t>
      </w:r>
      <w:r w:rsidR="003E532D" w:rsidRPr="00FF0072">
        <w:rPr>
          <w:bCs/>
        </w:rPr>
        <w:t xml:space="preserve">4,4 </w:t>
      </w:r>
      <w:r w:rsidRPr="00FF0072">
        <w:rPr>
          <w:bCs/>
        </w:rPr>
        <w:t xml:space="preserve">tūkst. Eur panaudota mažiau Tarybos darbo organizavimui ir seniūnaičių veiklos apmokėjimui. Savivaldybės administracija kartu su seniūnijomis panaudojo </w:t>
      </w:r>
      <w:r w:rsidR="00FF0072" w:rsidRPr="00FF0072">
        <w:rPr>
          <w:bCs/>
        </w:rPr>
        <w:t>112,2</w:t>
      </w:r>
      <w:r w:rsidRPr="00FF0072">
        <w:rPr>
          <w:bCs/>
        </w:rPr>
        <w:t xml:space="preserve"> tūkst. Eur mažiau komunalinėms paslaugoms, transporto išlaidoms, materialiojo turto paprastojo remonto išlaidoms</w:t>
      </w:r>
      <w:r w:rsidR="00FF0072" w:rsidRPr="00FF0072">
        <w:rPr>
          <w:bCs/>
        </w:rPr>
        <w:t>, kvalifikacijos kėlimui, informacinių technologijų prekių ir paslaugų įsigijimui</w:t>
      </w:r>
      <w:r w:rsidRPr="00FF0072">
        <w:rPr>
          <w:bCs/>
        </w:rPr>
        <w:t xml:space="preserve"> bei kitoms prekėms ir paslaugoms įsigyti. Liko nepanaudota </w:t>
      </w:r>
      <w:r w:rsidR="003E532D" w:rsidRPr="00FF0072">
        <w:rPr>
          <w:bCs/>
        </w:rPr>
        <w:t xml:space="preserve">71,3 </w:t>
      </w:r>
      <w:r w:rsidRPr="00FF0072">
        <w:rPr>
          <w:bCs/>
        </w:rPr>
        <w:t xml:space="preserve">tūkst. Eur Savivaldybės mero rezervo lėšų. </w:t>
      </w:r>
      <w:r w:rsidR="003E532D" w:rsidRPr="00FF0072">
        <w:rPr>
          <w:bCs/>
        </w:rPr>
        <w:t>5,7</w:t>
      </w:r>
      <w:r w:rsidRPr="00FF0072">
        <w:rPr>
          <w:bCs/>
        </w:rPr>
        <w:t xml:space="preserve"> tūkst. Eur asignavimų mažiau panaudota, negu buvo planuota, palūkanų mokėjimui</w:t>
      </w:r>
      <w:r w:rsidR="00F80A71">
        <w:rPr>
          <w:bCs/>
        </w:rPr>
        <w:t xml:space="preserve">, </w:t>
      </w:r>
      <w:r w:rsidR="00F80A71" w:rsidRPr="00FF0072">
        <w:rPr>
          <w:bCs/>
        </w:rPr>
        <w:t>10,8 tūkst. Eur mažiau</w:t>
      </w:r>
      <w:r w:rsidR="00F80A71">
        <w:rPr>
          <w:bCs/>
        </w:rPr>
        <w:t xml:space="preserve"> – į</w:t>
      </w:r>
      <w:r w:rsidR="00FF0072" w:rsidRPr="00FF0072">
        <w:rPr>
          <w:bCs/>
        </w:rPr>
        <w:t>vairių projektų finansavimui</w:t>
      </w:r>
      <w:r w:rsidR="00FF0072" w:rsidRPr="00992A9D">
        <w:rPr>
          <w:bCs/>
        </w:rPr>
        <w:t>.</w:t>
      </w:r>
    </w:p>
    <w:p w14:paraId="2758913E" w14:textId="2A11C54B" w:rsidR="00AB7A95" w:rsidRPr="00516098" w:rsidRDefault="00AB7A95" w:rsidP="00AB7A95">
      <w:pPr>
        <w:spacing w:line="360" w:lineRule="auto"/>
        <w:ind w:firstLine="709"/>
        <w:jc w:val="both"/>
        <w:rPr>
          <w:bCs/>
        </w:rPr>
      </w:pPr>
      <w:r w:rsidRPr="0031693A">
        <w:rPr>
          <w:bCs/>
        </w:rPr>
        <w:t xml:space="preserve">Nepanaudota </w:t>
      </w:r>
      <w:r w:rsidR="0031693A" w:rsidRPr="0031693A">
        <w:rPr>
          <w:bCs/>
        </w:rPr>
        <w:t>2,9</w:t>
      </w:r>
      <w:r w:rsidRPr="0031693A">
        <w:rPr>
          <w:bCs/>
        </w:rPr>
        <w:t xml:space="preserve"> tūkst. Eur specialiųjų tikslinių dotacijų, skirtų </w:t>
      </w:r>
      <w:r w:rsidRPr="0031693A">
        <w:t xml:space="preserve">žemės ūkio </w:t>
      </w:r>
      <w:r w:rsidRPr="0031693A">
        <w:rPr>
          <w:bCs/>
          <w:shd w:val="clear" w:color="auto" w:fill="FFFFFF"/>
        </w:rPr>
        <w:t>funkcijoms atlikti,</w:t>
      </w:r>
      <w:r w:rsidRPr="0031693A">
        <w:rPr>
          <w:bCs/>
        </w:rPr>
        <w:t xml:space="preserve"> civilinės saugos bei mobilizavimo </w:t>
      </w:r>
      <w:r w:rsidRPr="00516098">
        <w:rPr>
          <w:bCs/>
        </w:rPr>
        <w:t>paslaugoms administruoti</w:t>
      </w:r>
      <w:r w:rsidR="0031693A" w:rsidRPr="00516098">
        <w:rPr>
          <w:bCs/>
        </w:rPr>
        <w:t xml:space="preserve"> bei </w:t>
      </w:r>
      <w:r w:rsidRPr="00516098">
        <w:rPr>
          <w:bCs/>
        </w:rPr>
        <w:t>erdvinių duomenų tvarkymui. Šios lėšos grąžintos į valstybės biudžetą.</w:t>
      </w:r>
    </w:p>
    <w:p w14:paraId="0AB71332" w14:textId="77777777" w:rsidR="00901CED" w:rsidRPr="00516098" w:rsidRDefault="00901CED" w:rsidP="00516098">
      <w:pPr>
        <w:jc w:val="both"/>
        <w:rPr>
          <w:bCs/>
        </w:rPr>
      </w:pPr>
    </w:p>
    <w:p w14:paraId="6C37D195" w14:textId="7EE72498" w:rsidR="00D12B1F" w:rsidRDefault="003D4DC5" w:rsidP="00516098">
      <w:pPr>
        <w:tabs>
          <w:tab w:val="left" w:pos="540"/>
        </w:tabs>
        <w:spacing w:line="360" w:lineRule="auto"/>
        <w:jc w:val="center"/>
        <w:rPr>
          <w:iCs/>
          <w:sz w:val="22"/>
          <w:szCs w:val="22"/>
        </w:rPr>
      </w:pPr>
      <w:r w:rsidRPr="00516098">
        <w:rPr>
          <w:b/>
        </w:rPr>
        <w:t>Savivaldybės biudžeto 2025 metų asignavimų vykdymas pagal asignavimų valdytojus</w:t>
      </w:r>
    </w:p>
    <w:tbl>
      <w:tblPr>
        <w:tblW w:w="9493" w:type="dxa"/>
        <w:jc w:val="center"/>
        <w:tblLook w:val="04A0" w:firstRow="1" w:lastRow="0" w:firstColumn="1" w:lastColumn="0" w:noHBand="0" w:noVBand="1"/>
      </w:tblPr>
      <w:tblGrid>
        <w:gridCol w:w="5203"/>
        <w:gridCol w:w="1390"/>
        <w:gridCol w:w="1450"/>
        <w:gridCol w:w="1450"/>
      </w:tblGrid>
      <w:tr w:rsidR="00516098" w:rsidRPr="00516098" w14:paraId="534AA2F4" w14:textId="77777777" w:rsidTr="00516098">
        <w:trPr>
          <w:trHeight w:val="945"/>
          <w:tblHeader/>
          <w:jc w:val="center"/>
        </w:trPr>
        <w:tc>
          <w:tcPr>
            <w:tcW w:w="538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8CE819" w14:textId="77777777" w:rsidR="00516098" w:rsidRPr="00516098" w:rsidRDefault="00516098" w:rsidP="00516098">
            <w:pPr>
              <w:jc w:val="center"/>
              <w:rPr>
                <w:b/>
                <w:bCs/>
                <w:color w:val="000000"/>
                <w:szCs w:val="24"/>
                <w:lang w:eastAsia="lt-LT"/>
              </w:rPr>
            </w:pPr>
            <w:r w:rsidRPr="00516098">
              <w:rPr>
                <w:b/>
                <w:bCs/>
                <w:color w:val="000000"/>
                <w:szCs w:val="24"/>
                <w:lang w:eastAsia="lt-LT"/>
              </w:rPr>
              <w:t>Biudžetinės įstaigos pavadinimas</w:t>
            </w:r>
          </w:p>
        </w:tc>
        <w:tc>
          <w:tcPr>
            <w:tcW w:w="1390" w:type="dxa"/>
            <w:tcBorders>
              <w:top w:val="single" w:sz="4" w:space="0" w:color="auto"/>
              <w:left w:val="nil"/>
              <w:bottom w:val="nil"/>
              <w:right w:val="single" w:sz="4" w:space="0" w:color="auto"/>
            </w:tcBorders>
            <w:shd w:val="clear" w:color="auto" w:fill="C6D9F1" w:themeFill="text2" w:themeFillTint="33"/>
            <w:vAlign w:val="center"/>
            <w:hideMark/>
          </w:tcPr>
          <w:p w14:paraId="40B0C460" w14:textId="77777777" w:rsidR="00516098" w:rsidRPr="00516098" w:rsidRDefault="00516098" w:rsidP="00516098">
            <w:pPr>
              <w:jc w:val="center"/>
              <w:rPr>
                <w:b/>
                <w:bCs/>
                <w:color w:val="000000"/>
                <w:szCs w:val="24"/>
                <w:lang w:eastAsia="lt-LT"/>
              </w:rPr>
            </w:pPr>
            <w:r w:rsidRPr="00516098">
              <w:rPr>
                <w:b/>
                <w:bCs/>
                <w:color w:val="000000"/>
                <w:szCs w:val="24"/>
                <w:lang w:eastAsia="lt-LT"/>
              </w:rPr>
              <w:t>2025 metų asignavimų planas, tūkst. Eur</w:t>
            </w:r>
          </w:p>
        </w:tc>
        <w:tc>
          <w:tcPr>
            <w:tcW w:w="1450" w:type="dxa"/>
            <w:tcBorders>
              <w:top w:val="single" w:sz="4" w:space="0" w:color="auto"/>
              <w:left w:val="nil"/>
              <w:bottom w:val="nil"/>
              <w:right w:val="single" w:sz="4" w:space="0" w:color="auto"/>
            </w:tcBorders>
            <w:shd w:val="clear" w:color="auto" w:fill="C6D9F1" w:themeFill="text2" w:themeFillTint="33"/>
            <w:vAlign w:val="center"/>
            <w:hideMark/>
          </w:tcPr>
          <w:p w14:paraId="586A60AE" w14:textId="77777777" w:rsidR="00516098" w:rsidRPr="00516098" w:rsidRDefault="00516098" w:rsidP="00516098">
            <w:pPr>
              <w:jc w:val="center"/>
              <w:rPr>
                <w:b/>
                <w:bCs/>
                <w:color w:val="000000"/>
                <w:szCs w:val="24"/>
                <w:lang w:eastAsia="lt-LT"/>
              </w:rPr>
            </w:pPr>
            <w:r w:rsidRPr="00516098">
              <w:rPr>
                <w:b/>
                <w:bCs/>
                <w:color w:val="000000"/>
                <w:szCs w:val="24"/>
                <w:lang w:eastAsia="lt-LT"/>
              </w:rPr>
              <w:t>Panaudota asignavimų, tūkst. Eur</w:t>
            </w:r>
          </w:p>
        </w:tc>
        <w:tc>
          <w:tcPr>
            <w:tcW w:w="127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40BC9D5" w14:textId="77777777" w:rsidR="00516098" w:rsidRPr="00516098" w:rsidRDefault="00516098" w:rsidP="00516098">
            <w:pPr>
              <w:jc w:val="center"/>
              <w:rPr>
                <w:b/>
                <w:bCs/>
                <w:szCs w:val="24"/>
                <w:lang w:eastAsia="lt-LT"/>
              </w:rPr>
            </w:pPr>
            <w:r w:rsidRPr="00516098">
              <w:rPr>
                <w:b/>
                <w:bCs/>
                <w:szCs w:val="24"/>
                <w:lang w:eastAsia="lt-LT"/>
              </w:rPr>
              <w:t>Panaudota asignavimų, proc.</w:t>
            </w:r>
          </w:p>
        </w:tc>
      </w:tr>
      <w:tr w:rsidR="00516098" w:rsidRPr="00516098" w14:paraId="4D1FC1C3" w14:textId="77777777" w:rsidTr="00516098">
        <w:trPr>
          <w:trHeight w:val="70"/>
          <w:jc w:val="center"/>
        </w:trPr>
        <w:tc>
          <w:tcPr>
            <w:tcW w:w="5382" w:type="dxa"/>
            <w:tcBorders>
              <w:top w:val="nil"/>
              <w:left w:val="single" w:sz="4" w:space="0" w:color="auto"/>
              <w:bottom w:val="single" w:sz="4" w:space="0" w:color="auto"/>
              <w:right w:val="single" w:sz="4" w:space="0" w:color="auto"/>
            </w:tcBorders>
            <w:shd w:val="clear" w:color="FFFFFF" w:fill="FFFFFF"/>
            <w:vAlign w:val="center"/>
            <w:hideMark/>
          </w:tcPr>
          <w:p w14:paraId="715A5BC8" w14:textId="77777777" w:rsidR="00516098" w:rsidRPr="00516098" w:rsidRDefault="00516098" w:rsidP="00516098">
            <w:pPr>
              <w:rPr>
                <w:color w:val="000000"/>
                <w:szCs w:val="24"/>
                <w:lang w:eastAsia="lt-LT"/>
              </w:rPr>
            </w:pPr>
            <w:r w:rsidRPr="00516098">
              <w:rPr>
                <w:color w:val="000000"/>
                <w:szCs w:val="24"/>
                <w:lang w:eastAsia="lt-LT"/>
              </w:rPr>
              <w:t>1. Varėnos rajono savivaldybės administracija</w:t>
            </w:r>
          </w:p>
        </w:tc>
        <w:tc>
          <w:tcPr>
            <w:tcW w:w="1390" w:type="dxa"/>
            <w:tcBorders>
              <w:top w:val="single" w:sz="4" w:space="0" w:color="auto"/>
              <w:left w:val="nil"/>
              <w:bottom w:val="single" w:sz="4" w:space="0" w:color="auto"/>
              <w:right w:val="single" w:sz="4" w:space="0" w:color="auto"/>
            </w:tcBorders>
            <w:shd w:val="clear" w:color="FFFFFF" w:fill="FFFFFF"/>
            <w:vAlign w:val="bottom"/>
            <w:hideMark/>
          </w:tcPr>
          <w:p w14:paraId="327FEC23" w14:textId="77777777" w:rsidR="00516098" w:rsidRPr="00516098" w:rsidRDefault="00516098" w:rsidP="00516098">
            <w:pPr>
              <w:jc w:val="right"/>
              <w:rPr>
                <w:color w:val="000000"/>
                <w:szCs w:val="24"/>
                <w:lang w:eastAsia="lt-LT"/>
              </w:rPr>
            </w:pPr>
            <w:r w:rsidRPr="00516098">
              <w:rPr>
                <w:color w:val="000000"/>
                <w:szCs w:val="24"/>
                <w:lang w:eastAsia="lt-LT"/>
              </w:rPr>
              <w:t>28 092,3</w:t>
            </w:r>
          </w:p>
        </w:tc>
        <w:tc>
          <w:tcPr>
            <w:tcW w:w="1450" w:type="dxa"/>
            <w:tcBorders>
              <w:top w:val="single" w:sz="4" w:space="0" w:color="auto"/>
              <w:left w:val="nil"/>
              <w:bottom w:val="single" w:sz="4" w:space="0" w:color="auto"/>
              <w:right w:val="single" w:sz="4" w:space="0" w:color="auto"/>
            </w:tcBorders>
            <w:noWrap/>
            <w:vAlign w:val="bottom"/>
            <w:hideMark/>
          </w:tcPr>
          <w:p w14:paraId="7092C484" w14:textId="77777777" w:rsidR="00516098" w:rsidRPr="00516098" w:rsidRDefault="00516098" w:rsidP="00516098">
            <w:pPr>
              <w:jc w:val="right"/>
              <w:rPr>
                <w:color w:val="000000"/>
                <w:szCs w:val="24"/>
                <w:lang w:eastAsia="lt-LT"/>
              </w:rPr>
            </w:pPr>
            <w:r w:rsidRPr="00516098">
              <w:rPr>
                <w:color w:val="000000"/>
                <w:szCs w:val="24"/>
                <w:lang w:eastAsia="lt-LT"/>
              </w:rPr>
              <w:t xml:space="preserve">25 122,6 </w:t>
            </w:r>
          </w:p>
        </w:tc>
        <w:tc>
          <w:tcPr>
            <w:tcW w:w="1271" w:type="dxa"/>
            <w:tcBorders>
              <w:top w:val="nil"/>
              <w:left w:val="nil"/>
              <w:bottom w:val="single" w:sz="4" w:space="0" w:color="auto"/>
              <w:right w:val="single" w:sz="4" w:space="0" w:color="auto"/>
            </w:tcBorders>
            <w:noWrap/>
            <w:vAlign w:val="bottom"/>
            <w:hideMark/>
          </w:tcPr>
          <w:p w14:paraId="4989F8EF" w14:textId="77777777" w:rsidR="00516098" w:rsidRPr="00516098" w:rsidRDefault="00516098" w:rsidP="00516098">
            <w:pPr>
              <w:jc w:val="right"/>
              <w:rPr>
                <w:szCs w:val="24"/>
                <w:lang w:eastAsia="lt-LT"/>
              </w:rPr>
            </w:pPr>
            <w:r w:rsidRPr="00516098">
              <w:rPr>
                <w:szCs w:val="24"/>
                <w:lang w:eastAsia="lt-LT"/>
              </w:rPr>
              <w:t>89,4</w:t>
            </w:r>
          </w:p>
        </w:tc>
      </w:tr>
      <w:tr w:rsidR="00516098" w:rsidRPr="00516098" w14:paraId="2B78E183"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565946FB" w14:textId="77777777" w:rsidR="00516098" w:rsidRPr="00516098" w:rsidRDefault="00516098" w:rsidP="00516098">
            <w:pPr>
              <w:rPr>
                <w:color w:val="000000"/>
                <w:szCs w:val="24"/>
                <w:lang w:eastAsia="lt-LT"/>
              </w:rPr>
            </w:pPr>
            <w:r w:rsidRPr="00516098">
              <w:rPr>
                <w:color w:val="000000"/>
                <w:szCs w:val="24"/>
                <w:lang w:eastAsia="lt-LT"/>
              </w:rPr>
              <w:t>2. Varėnos rajono savivaldybės kontrolės ir audito tarnyba</w:t>
            </w:r>
          </w:p>
        </w:tc>
        <w:tc>
          <w:tcPr>
            <w:tcW w:w="1390" w:type="dxa"/>
            <w:tcBorders>
              <w:top w:val="nil"/>
              <w:left w:val="nil"/>
              <w:bottom w:val="single" w:sz="4" w:space="0" w:color="auto"/>
              <w:right w:val="single" w:sz="4" w:space="0" w:color="auto"/>
            </w:tcBorders>
            <w:vAlign w:val="bottom"/>
            <w:hideMark/>
          </w:tcPr>
          <w:p w14:paraId="3A04EFAA" w14:textId="77777777" w:rsidR="00516098" w:rsidRPr="00516098" w:rsidRDefault="00516098" w:rsidP="00516098">
            <w:pPr>
              <w:jc w:val="right"/>
              <w:rPr>
                <w:color w:val="000000"/>
                <w:szCs w:val="24"/>
                <w:lang w:eastAsia="lt-LT"/>
              </w:rPr>
            </w:pPr>
            <w:r w:rsidRPr="00516098">
              <w:rPr>
                <w:color w:val="000000"/>
                <w:szCs w:val="24"/>
                <w:lang w:eastAsia="lt-LT"/>
              </w:rPr>
              <w:t>85,5</w:t>
            </w:r>
          </w:p>
        </w:tc>
        <w:tc>
          <w:tcPr>
            <w:tcW w:w="1450" w:type="dxa"/>
            <w:tcBorders>
              <w:top w:val="nil"/>
              <w:left w:val="nil"/>
              <w:bottom w:val="single" w:sz="4" w:space="0" w:color="auto"/>
              <w:right w:val="single" w:sz="4" w:space="0" w:color="auto"/>
            </w:tcBorders>
            <w:noWrap/>
            <w:vAlign w:val="bottom"/>
            <w:hideMark/>
          </w:tcPr>
          <w:p w14:paraId="6A6B167C" w14:textId="77777777" w:rsidR="00516098" w:rsidRPr="00516098" w:rsidRDefault="00516098" w:rsidP="00516098">
            <w:pPr>
              <w:jc w:val="right"/>
              <w:rPr>
                <w:color w:val="000000"/>
                <w:szCs w:val="24"/>
                <w:lang w:eastAsia="lt-LT"/>
              </w:rPr>
            </w:pPr>
            <w:r w:rsidRPr="00516098">
              <w:rPr>
                <w:color w:val="000000"/>
                <w:szCs w:val="24"/>
                <w:lang w:eastAsia="lt-LT"/>
              </w:rPr>
              <w:t xml:space="preserve">84,3 </w:t>
            </w:r>
          </w:p>
        </w:tc>
        <w:tc>
          <w:tcPr>
            <w:tcW w:w="1271" w:type="dxa"/>
            <w:tcBorders>
              <w:top w:val="nil"/>
              <w:left w:val="nil"/>
              <w:bottom w:val="single" w:sz="4" w:space="0" w:color="auto"/>
              <w:right w:val="single" w:sz="4" w:space="0" w:color="auto"/>
            </w:tcBorders>
            <w:noWrap/>
            <w:vAlign w:val="bottom"/>
            <w:hideMark/>
          </w:tcPr>
          <w:p w14:paraId="294A8910" w14:textId="77777777" w:rsidR="00516098" w:rsidRPr="00516098" w:rsidRDefault="00516098" w:rsidP="00516098">
            <w:pPr>
              <w:jc w:val="right"/>
              <w:rPr>
                <w:szCs w:val="24"/>
                <w:lang w:eastAsia="lt-LT"/>
              </w:rPr>
            </w:pPr>
            <w:r w:rsidRPr="00516098">
              <w:rPr>
                <w:szCs w:val="24"/>
                <w:lang w:eastAsia="lt-LT"/>
              </w:rPr>
              <w:t>98,6</w:t>
            </w:r>
          </w:p>
        </w:tc>
      </w:tr>
      <w:tr w:rsidR="00516098" w:rsidRPr="00516098" w14:paraId="68F9547D" w14:textId="77777777" w:rsidTr="00516098">
        <w:trPr>
          <w:trHeight w:val="315"/>
          <w:jc w:val="center"/>
        </w:trPr>
        <w:tc>
          <w:tcPr>
            <w:tcW w:w="5382" w:type="dxa"/>
            <w:tcBorders>
              <w:top w:val="nil"/>
              <w:left w:val="single" w:sz="4" w:space="0" w:color="auto"/>
              <w:bottom w:val="single" w:sz="4" w:space="0" w:color="auto"/>
              <w:right w:val="single" w:sz="4" w:space="0" w:color="auto"/>
            </w:tcBorders>
            <w:vAlign w:val="center"/>
            <w:hideMark/>
          </w:tcPr>
          <w:p w14:paraId="577028FE" w14:textId="77777777" w:rsidR="00516098" w:rsidRPr="00516098" w:rsidRDefault="00516098" w:rsidP="00516098">
            <w:pPr>
              <w:rPr>
                <w:color w:val="000000"/>
                <w:szCs w:val="24"/>
                <w:lang w:eastAsia="lt-LT"/>
              </w:rPr>
            </w:pPr>
            <w:r w:rsidRPr="00516098">
              <w:rPr>
                <w:color w:val="000000"/>
                <w:szCs w:val="24"/>
                <w:lang w:eastAsia="lt-LT"/>
              </w:rPr>
              <w:t>3. Varėnos rajono savivaldybės priešgaisrinės apsaugos tarnyba</w:t>
            </w:r>
          </w:p>
        </w:tc>
        <w:tc>
          <w:tcPr>
            <w:tcW w:w="1390" w:type="dxa"/>
            <w:tcBorders>
              <w:top w:val="nil"/>
              <w:left w:val="nil"/>
              <w:bottom w:val="single" w:sz="4" w:space="0" w:color="auto"/>
              <w:right w:val="single" w:sz="4" w:space="0" w:color="auto"/>
            </w:tcBorders>
            <w:vAlign w:val="bottom"/>
            <w:hideMark/>
          </w:tcPr>
          <w:p w14:paraId="04E18047" w14:textId="77777777" w:rsidR="00516098" w:rsidRPr="00516098" w:rsidRDefault="00516098" w:rsidP="00516098">
            <w:pPr>
              <w:jc w:val="right"/>
              <w:rPr>
                <w:color w:val="000000"/>
                <w:szCs w:val="24"/>
                <w:lang w:eastAsia="lt-LT"/>
              </w:rPr>
            </w:pPr>
            <w:r w:rsidRPr="00516098">
              <w:rPr>
                <w:color w:val="000000"/>
                <w:szCs w:val="24"/>
                <w:lang w:eastAsia="lt-LT"/>
              </w:rPr>
              <w:t>1 417,0</w:t>
            </w:r>
          </w:p>
        </w:tc>
        <w:tc>
          <w:tcPr>
            <w:tcW w:w="1450" w:type="dxa"/>
            <w:tcBorders>
              <w:top w:val="nil"/>
              <w:left w:val="nil"/>
              <w:bottom w:val="single" w:sz="4" w:space="0" w:color="auto"/>
              <w:right w:val="single" w:sz="4" w:space="0" w:color="auto"/>
            </w:tcBorders>
            <w:noWrap/>
            <w:vAlign w:val="bottom"/>
            <w:hideMark/>
          </w:tcPr>
          <w:p w14:paraId="5A02DBC3" w14:textId="77777777" w:rsidR="00516098" w:rsidRPr="00516098" w:rsidRDefault="00516098" w:rsidP="00516098">
            <w:pPr>
              <w:jc w:val="right"/>
              <w:rPr>
                <w:color w:val="000000"/>
                <w:szCs w:val="24"/>
                <w:lang w:eastAsia="lt-LT"/>
              </w:rPr>
            </w:pPr>
            <w:r w:rsidRPr="00516098">
              <w:rPr>
                <w:color w:val="000000"/>
                <w:szCs w:val="24"/>
                <w:lang w:eastAsia="lt-LT"/>
              </w:rPr>
              <w:t xml:space="preserve">1 407,7 </w:t>
            </w:r>
          </w:p>
        </w:tc>
        <w:tc>
          <w:tcPr>
            <w:tcW w:w="1271" w:type="dxa"/>
            <w:tcBorders>
              <w:top w:val="nil"/>
              <w:left w:val="nil"/>
              <w:bottom w:val="single" w:sz="4" w:space="0" w:color="auto"/>
              <w:right w:val="single" w:sz="4" w:space="0" w:color="auto"/>
            </w:tcBorders>
            <w:noWrap/>
            <w:vAlign w:val="bottom"/>
            <w:hideMark/>
          </w:tcPr>
          <w:p w14:paraId="3AB5BBFB" w14:textId="77777777" w:rsidR="00516098" w:rsidRPr="00516098" w:rsidRDefault="00516098" w:rsidP="00516098">
            <w:pPr>
              <w:jc w:val="right"/>
              <w:rPr>
                <w:szCs w:val="24"/>
                <w:lang w:eastAsia="lt-LT"/>
              </w:rPr>
            </w:pPr>
            <w:r w:rsidRPr="00516098">
              <w:rPr>
                <w:szCs w:val="24"/>
                <w:lang w:eastAsia="lt-LT"/>
              </w:rPr>
              <w:t>99,3</w:t>
            </w:r>
          </w:p>
        </w:tc>
      </w:tr>
      <w:tr w:rsidR="00516098" w:rsidRPr="00516098" w14:paraId="63C6A873"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402B241D" w14:textId="77777777" w:rsidR="00516098" w:rsidRPr="00516098" w:rsidRDefault="00516098" w:rsidP="00516098">
            <w:pPr>
              <w:rPr>
                <w:color w:val="000000"/>
                <w:szCs w:val="24"/>
                <w:lang w:eastAsia="lt-LT"/>
              </w:rPr>
            </w:pPr>
            <w:r w:rsidRPr="00516098">
              <w:rPr>
                <w:color w:val="000000"/>
                <w:szCs w:val="24"/>
                <w:lang w:eastAsia="lt-LT"/>
              </w:rPr>
              <w:t>4. Varėnos švietimo centras</w:t>
            </w:r>
          </w:p>
        </w:tc>
        <w:tc>
          <w:tcPr>
            <w:tcW w:w="1390" w:type="dxa"/>
            <w:tcBorders>
              <w:top w:val="nil"/>
              <w:left w:val="nil"/>
              <w:bottom w:val="single" w:sz="4" w:space="0" w:color="auto"/>
              <w:right w:val="single" w:sz="4" w:space="0" w:color="auto"/>
            </w:tcBorders>
            <w:vAlign w:val="bottom"/>
            <w:hideMark/>
          </w:tcPr>
          <w:p w14:paraId="52154B2B" w14:textId="77777777" w:rsidR="00516098" w:rsidRPr="00516098" w:rsidRDefault="00516098" w:rsidP="00516098">
            <w:pPr>
              <w:jc w:val="right"/>
              <w:rPr>
                <w:color w:val="000000"/>
                <w:szCs w:val="24"/>
                <w:lang w:eastAsia="lt-LT"/>
              </w:rPr>
            </w:pPr>
            <w:r w:rsidRPr="00516098">
              <w:rPr>
                <w:color w:val="000000"/>
                <w:szCs w:val="24"/>
                <w:lang w:eastAsia="lt-LT"/>
              </w:rPr>
              <w:t>879,6</w:t>
            </w:r>
          </w:p>
        </w:tc>
        <w:tc>
          <w:tcPr>
            <w:tcW w:w="1450" w:type="dxa"/>
            <w:tcBorders>
              <w:top w:val="nil"/>
              <w:left w:val="nil"/>
              <w:bottom w:val="single" w:sz="4" w:space="0" w:color="auto"/>
              <w:right w:val="single" w:sz="4" w:space="0" w:color="auto"/>
            </w:tcBorders>
            <w:noWrap/>
            <w:vAlign w:val="bottom"/>
            <w:hideMark/>
          </w:tcPr>
          <w:p w14:paraId="15F19A46" w14:textId="77777777" w:rsidR="00516098" w:rsidRPr="00516098" w:rsidRDefault="00516098" w:rsidP="00516098">
            <w:pPr>
              <w:jc w:val="right"/>
              <w:rPr>
                <w:color w:val="000000"/>
                <w:szCs w:val="24"/>
                <w:lang w:eastAsia="lt-LT"/>
              </w:rPr>
            </w:pPr>
            <w:r w:rsidRPr="00516098">
              <w:rPr>
                <w:color w:val="000000"/>
                <w:szCs w:val="24"/>
                <w:lang w:eastAsia="lt-LT"/>
              </w:rPr>
              <w:t xml:space="preserve">875,1 </w:t>
            </w:r>
          </w:p>
        </w:tc>
        <w:tc>
          <w:tcPr>
            <w:tcW w:w="1271" w:type="dxa"/>
            <w:tcBorders>
              <w:top w:val="nil"/>
              <w:left w:val="nil"/>
              <w:bottom w:val="single" w:sz="4" w:space="0" w:color="auto"/>
              <w:right w:val="single" w:sz="4" w:space="0" w:color="auto"/>
            </w:tcBorders>
            <w:noWrap/>
            <w:vAlign w:val="bottom"/>
            <w:hideMark/>
          </w:tcPr>
          <w:p w14:paraId="70B82740" w14:textId="77777777" w:rsidR="00516098" w:rsidRPr="00516098" w:rsidRDefault="00516098" w:rsidP="00516098">
            <w:pPr>
              <w:jc w:val="right"/>
              <w:rPr>
                <w:szCs w:val="24"/>
                <w:lang w:eastAsia="lt-LT"/>
              </w:rPr>
            </w:pPr>
            <w:r w:rsidRPr="00516098">
              <w:rPr>
                <w:szCs w:val="24"/>
                <w:lang w:eastAsia="lt-LT"/>
              </w:rPr>
              <w:t>99,5</w:t>
            </w:r>
          </w:p>
        </w:tc>
      </w:tr>
      <w:tr w:rsidR="00516098" w:rsidRPr="00516098" w14:paraId="2F6679DD"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57393AB0" w14:textId="77777777" w:rsidR="00516098" w:rsidRPr="00516098" w:rsidRDefault="00516098" w:rsidP="00516098">
            <w:pPr>
              <w:rPr>
                <w:color w:val="000000"/>
                <w:szCs w:val="24"/>
                <w:lang w:eastAsia="lt-LT"/>
              </w:rPr>
            </w:pPr>
            <w:r w:rsidRPr="00516098">
              <w:rPr>
                <w:color w:val="000000"/>
                <w:szCs w:val="24"/>
                <w:lang w:eastAsia="lt-LT"/>
              </w:rPr>
              <w:t>5. Varėnos rajono savivaldybės visuomenės sveikatos biuras</w:t>
            </w:r>
          </w:p>
        </w:tc>
        <w:tc>
          <w:tcPr>
            <w:tcW w:w="1390" w:type="dxa"/>
            <w:tcBorders>
              <w:top w:val="nil"/>
              <w:left w:val="nil"/>
              <w:bottom w:val="single" w:sz="4" w:space="0" w:color="auto"/>
              <w:right w:val="single" w:sz="4" w:space="0" w:color="auto"/>
            </w:tcBorders>
            <w:vAlign w:val="bottom"/>
            <w:hideMark/>
          </w:tcPr>
          <w:p w14:paraId="498D55E4" w14:textId="77777777" w:rsidR="00516098" w:rsidRPr="00516098" w:rsidRDefault="00516098" w:rsidP="00516098">
            <w:pPr>
              <w:jc w:val="right"/>
              <w:rPr>
                <w:color w:val="000000"/>
                <w:szCs w:val="24"/>
                <w:lang w:eastAsia="lt-LT"/>
              </w:rPr>
            </w:pPr>
            <w:r w:rsidRPr="00516098">
              <w:rPr>
                <w:color w:val="000000"/>
                <w:szCs w:val="24"/>
                <w:lang w:eastAsia="lt-LT"/>
              </w:rPr>
              <w:t>228,0</w:t>
            </w:r>
          </w:p>
        </w:tc>
        <w:tc>
          <w:tcPr>
            <w:tcW w:w="1450" w:type="dxa"/>
            <w:tcBorders>
              <w:top w:val="nil"/>
              <w:left w:val="nil"/>
              <w:bottom w:val="single" w:sz="4" w:space="0" w:color="auto"/>
              <w:right w:val="single" w:sz="4" w:space="0" w:color="auto"/>
            </w:tcBorders>
            <w:noWrap/>
            <w:vAlign w:val="bottom"/>
            <w:hideMark/>
          </w:tcPr>
          <w:p w14:paraId="4E24F181" w14:textId="77777777" w:rsidR="00516098" w:rsidRPr="00516098" w:rsidRDefault="00516098" w:rsidP="00516098">
            <w:pPr>
              <w:jc w:val="right"/>
              <w:rPr>
                <w:color w:val="000000"/>
                <w:szCs w:val="24"/>
                <w:lang w:eastAsia="lt-LT"/>
              </w:rPr>
            </w:pPr>
            <w:r w:rsidRPr="00516098">
              <w:rPr>
                <w:color w:val="000000"/>
                <w:szCs w:val="24"/>
                <w:lang w:eastAsia="lt-LT"/>
              </w:rPr>
              <w:t xml:space="preserve">221,0 </w:t>
            </w:r>
          </w:p>
        </w:tc>
        <w:tc>
          <w:tcPr>
            <w:tcW w:w="1271" w:type="dxa"/>
            <w:tcBorders>
              <w:top w:val="nil"/>
              <w:left w:val="nil"/>
              <w:bottom w:val="single" w:sz="4" w:space="0" w:color="auto"/>
              <w:right w:val="single" w:sz="4" w:space="0" w:color="auto"/>
            </w:tcBorders>
            <w:noWrap/>
            <w:vAlign w:val="bottom"/>
            <w:hideMark/>
          </w:tcPr>
          <w:p w14:paraId="7A51CE5B" w14:textId="77777777" w:rsidR="00516098" w:rsidRPr="00516098" w:rsidRDefault="00516098" w:rsidP="00516098">
            <w:pPr>
              <w:jc w:val="right"/>
              <w:rPr>
                <w:szCs w:val="24"/>
                <w:lang w:eastAsia="lt-LT"/>
              </w:rPr>
            </w:pPr>
            <w:r w:rsidRPr="00516098">
              <w:rPr>
                <w:szCs w:val="24"/>
                <w:lang w:eastAsia="lt-LT"/>
              </w:rPr>
              <w:t>96,9</w:t>
            </w:r>
          </w:p>
        </w:tc>
      </w:tr>
      <w:tr w:rsidR="00516098" w:rsidRPr="00516098" w14:paraId="38A73A99"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095DD00E" w14:textId="77777777" w:rsidR="00516098" w:rsidRPr="00516098" w:rsidRDefault="00516098" w:rsidP="00516098">
            <w:pPr>
              <w:rPr>
                <w:color w:val="000000"/>
                <w:szCs w:val="24"/>
                <w:lang w:eastAsia="lt-LT"/>
              </w:rPr>
            </w:pPr>
            <w:r w:rsidRPr="00516098">
              <w:rPr>
                <w:color w:val="000000"/>
                <w:szCs w:val="24"/>
                <w:lang w:eastAsia="lt-LT"/>
              </w:rPr>
              <w:t>6. Varėnos sporto centras</w:t>
            </w:r>
          </w:p>
        </w:tc>
        <w:tc>
          <w:tcPr>
            <w:tcW w:w="1390" w:type="dxa"/>
            <w:tcBorders>
              <w:top w:val="nil"/>
              <w:left w:val="nil"/>
              <w:bottom w:val="single" w:sz="4" w:space="0" w:color="auto"/>
              <w:right w:val="single" w:sz="4" w:space="0" w:color="auto"/>
            </w:tcBorders>
            <w:vAlign w:val="bottom"/>
            <w:hideMark/>
          </w:tcPr>
          <w:p w14:paraId="6F036879" w14:textId="77777777" w:rsidR="00516098" w:rsidRPr="00516098" w:rsidRDefault="00516098" w:rsidP="00516098">
            <w:pPr>
              <w:jc w:val="right"/>
              <w:rPr>
                <w:color w:val="000000"/>
                <w:szCs w:val="24"/>
                <w:lang w:eastAsia="lt-LT"/>
              </w:rPr>
            </w:pPr>
            <w:r w:rsidRPr="00516098">
              <w:rPr>
                <w:color w:val="000000"/>
                <w:szCs w:val="24"/>
                <w:lang w:eastAsia="lt-LT"/>
              </w:rPr>
              <w:t>1 288,4</w:t>
            </w:r>
          </w:p>
        </w:tc>
        <w:tc>
          <w:tcPr>
            <w:tcW w:w="1450" w:type="dxa"/>
            <w:tcBorders>
              <w:top w:val="nil"/>
              <w:left w:val="nil"/>
              <w:bottom w:val="single" w:sz="4" w:space="0" w:color="auto"/>
              <w:right w:val="single" w:sz="4" w:space="0" w:color="auto"/>
            </w:tcBorders>
            <w:noWrap/>
            <w:vAlign w:val="bottom"/>
            <w:hideMark/>
          </w:tcPr>
          <w:p w14:paraId="70CBDD6B" w14:textId="77777777" w:rsidR="00516098" w:rsidRPr="00516098" w:rsidRDefault="00516098" w:rsidP="00516098">
            <w:pPr>
              <w:jc w:val="right"/>
              <w:rPr>
                <w:color w:val="000000"/>
                <w:szCs w:val="24"/>
                <w:lang w:eastAsia="lt-LT"/>
              </w:rPr>
            </w:pPr>
            <w:r w:rsidRPr="00516098">
              <w:rPr>
                <w:color w:val="000000"/>
                <w:szCs w:val="24"/>
                <w:lang w:eastAsia="lt-LT"/>
              </w:rPr>
              <w:t xml:space="preserve">1 213,4 </w:t>
            </w:r>
          </w:p>
        </w:tc>
        <w:tc>
          <w:tcPr>
            <w:tcW w:w="1271" w:type="dxa"/>
            <w:tcBorders>
              <w:top w:val="nil"/>
              <w:left w:val="nil"/>
              <w:bottom w:val="single" w:sz="4" w:space="0" w:color="auto"/>
              <w:right w:val="single" w:sz="4" w:space="0" w:color="auto"/>
            </w:tcBorders>
            <w:noWrap/>
            <w:vAlign w:val="bottom"/>
            <w:hideMark/>
          </w:tcPr>
          <w:p w14:paraId="57FA4EA0" w14:textId="77777777" w:rsidR="00516098" w:rsidRPr="00516098" w:rsidRDefault="00516098" w:rsidP="00516098">
            <w:pPr>
              <w:jc w:val="right"/>
              <w:rPr>
                <w:szCs w:val="24"/>
                <w:lang w:eastAsia="lt-LT"/>
              </w:rPr>
            </w:pPr>
            <w:r w:rsidRPr="00516098">
              <w:rPr>
                <w:szCs w:val="24"/>
                <w:lang w:eastAsia="lt-LT"/>
              </w:rPr>
              <w:t>94,2</w:t>
            </w:r>
          </w:p>
        </w:tc>
      </w:tr>
      <w:tr w:rsidR="00516098" w:rsidRPr="00516098" w14:paraId="1BF49013" w14:textId="77777777" w:rsidTr="00516098">
        <w:trPr>
          <w:trHeight w:val="315"/>
          <w:jc w:val="center"/>
        </w:trPr>
        <w:tc>
          <w:tcPr>
            <w:tcW w:w="5382" w:type="dxa"/>
            <w:tcBorders>
              <w:top w:val="nil"/>
              <w:left w:val="single" w:sz="4" w:space="0" w:color="auto"/>
              <w:bottom w:val="single" w:sz="4" w:space="0" w:color="auto"/>
              <w:right w:val="single" w:sz="4" w:space="0" w:color="auto"/>
            </w:tcBorders>
            <w:vAlign w:val="center"/>
            <w:hideMark/>
          </w:tcPr>
          <w:p w14:paraId="027FDDB2" w14:textId="77777777" w:rsidR="00516098" w:rsidRPr="00516098" w:rsidRDefault="00516098" w:rsidP="00516098">
            <w:pPr>
              <w:rPr>
                <w:color w:val="000000"/>
                <w:szCs w:val="24"/>
                <w:lang w:eastAsia="lt-LT"/>
              </w:rPr>
            </w:pPr>
            <w:r w:rsidRPr="00516098">
              <w:rPr>
                <w:color w:val="000000"/>
                <w:szCs w:val="24"/>
                <w:lang w:eastAsia="lt-LT"/>
              </w:rPr>
              <w:t>7. Varėnos rajono savivaldybės viešoji biblioteka</w:t>
            </w:r>
          </w:p>
        </w:tc>
        <w:tc>
          <w:tcPr>
            <w:tcW w:w="1390" w:type="dxa"/>
            <w:tcBorders>
              <w:top w:val="nil"/>
              <w:left w:val="nil"/>
              <w:bottom w:val="single" w:sz="4" w:space="0" w:color="auto"/>
              <w:right w:val="single" w:sz="4" w:space="0" w:color="auto"/>
            </w:tcBorders>
            <w:vAlign w:val="bottom"/>
            <w:hideMark/>
          </w:tcPr>
          <w:p w14:paraId="7E68AE88" w14:textId="77777777" w:rsidR="00516098" w:rsidRPr="00516098" w:rsidRDefault="00516098" w:rsidP="00516098">
            <w:pPr>
              <w:jc w:val="right"/>
              <w:rPr>
                <w:color w:val="000000"/>
                <w:szCs w:val="24"/>
                <w:lang w:eastAsia="lt-LT"/>
              </w:rPr>
            </w:pPr>
            <w:r w:rsidRPr="00516098">
              <w:rPr>
                <w:color w:val="000000"/>
                <w:szCs w:val="24"/>
                <w:lang w:eastAsia="lt-LT"/>
              </w:rPr>
              <w:t>1 196,0</w:t>
            </w:r>
          </w:p>
        </w:tc>
        <w:tc>
          <w:tcPr>
            <w:tcW w:w="1450" w:type="dxa"/>
            <w:tcBorders>
              <w:top w:val="nil"/>
              <w:left w:val="nil"/>
              <w:bottom w:val="single" w:sz="4" w:space="0" w:color="auto"/>
              <w:right w:val="single" w:sz="4" w:space="0" w:color="auto"/>
            </w:tcBorders>
            <w:noWrap/>
            <w:vAlign w:val="bottom"/>
            <w:hideMark/>
          </w:tcPr>
          <w:p w14:paraId="10FC9272" w14:textId="77777777" w:rsidR="00516098" w:rsidRPr="00516098" w:rsidRDefault="00516098" w:rsidP="00516098">
            <w:pPr>
              <w:jc w:val="right"/>
              <w:rPr>
                <w:color w:val="000000"/>
                <w:szCs w:val="24"/>
                <w:lang w:eastAsia="lt-LT"/>
              </w:rPr>
            </w:pPr>
            <w:r w:rsidRPr="00516098">
              <w:rPr>
                <w:color w:val="000000"/>
                <w:szCs w:val="24"/>
                <w:lang w:eastAsia="lt-LT"/>
              </w:rPr>
              <w:t xml:space="preserve">1 188,1 </w:t>
            </w:r>
          </w:p>
        </w:tc>
        <w:tc>
          <w:tcPr>
            <w:tcW w:w="1271" w:type="dxa"/>
            <w:tcBorders>
              <w:top w:val="nil"/>
              <w:left w:val="nil"/>
              <w:bottom w:val="single" w:sz="4" w:space="0" w:color="auto"/>
              <w:right w:val="single" w:sz="4" w:space="0" w:color="auto"/>
            </w:tcBorders>
            <w:noWrap/>
            <w:vAlign w:val="bottom"/>
            <w:hideMark/>
          </w:tcPr>
          <w:p w14:paraId="448ACD58" w14:textId="77777777" w:rsidR="00516098" w:rsidRPr="00516098" w:rsidRDefault="00516098" w:rsidP="00516098">
            <w:pPr>
              <w:jc w:val="right"/>
              <w:rPr>
                <w:szCs w:val="24"/>
                <w:lang w:eastAsia="lt-LT"/>
              </w:rPr>
            </w:pPr>
            <w:r w:rsidRPr="00516098">
              <w:rPr>
                <w:szCs w:val="24"/>
                <w:lang w:eastAsia="lt-LT"/>
              </w:rPr>
              <w:t>99,3</w:t>
            </w:r>
          </w:p>
        </w:tc>
      </w:tr>
      <w:tr w:rsidR="00516098" w:rsidRPr="00516098" w14:paraId="552F5515" w14:textId="77777777" w:rsidTr="00516098">
        <w:trPr>
          <w:trHeight w:val="315"/>
          <w:jc w:val="center"/>
        </w:trPr>
        <w:tc>
          <w:tcPr>
            <w:tcW w:w="5382" w:type="dxa"/>
            <w:tcBorders>
              <w:top w:val="nil"/>
              <w:left w:val="single" w:sz="4" w:space="0" w:color="auto"/>
              <w:bottom w:val="single" w:sz="4" w:space="0" w:color="auto"/>
              <w:right w:val="single" w:sz="4" w:space="0" w:color="auto"/>
            </w:tcBorders>
            <w:vAlign w:val="center"/>
            <w:hideMark/>
          </w:tcPr>
          <w:p w14:paraId="1047D9FC" w14:textId="77777777" w:rsidR="00516098" w:rsidRPr="00516098" w:rsidRDefault="00516098" w:rsidP="00516098">
            <w:pPr>
              <w:rPr>
                <w:color w:val="000000"/>
                <w:szCs w:val="24"/>
                <w:lang w:eastAsia="lt-LT"/>
              </w:rPr>
            </w:pPr>
            <w:r w:rsidRPr="00516098">
              <w:rPr>
                <w:color w:val="000000"/>
                <w:szCs w:val="24"/>
                <w:lang w:eastAsia="lt-LT"/>
              </w:rPr>
              <w:t>8. Varėnos kultūros centras</w:t>
            </w:r>
          </w:p>
        </w:tc>
        <w:tc>
          <w:tcPr>
            <w:tcW w:w="1390" w:type="dxa"/>
            <w:tcBorders>
              <w:top w:val="nil"/>
              <w:left w:val="nil"/>
              <w:bottom w:val="single" w:sz="4" w:space="0" w:color="auto"/>
              <w:right w:val="single" w:sz="4" w:space="0" w:color="auto"/>
            </w:tcBorders>
            <w:vAlign w:val="bottom"/>
            <w:hideMark/>
          </w:tcPr>
          <w:p w14:paraId="2F824B0D" w14:textId="77777777" w:rsidR="00516098" w:rsidRPr="00516098" w:rsidRDefault="00516098" w:rsidP="00516098">
            <w:pPr>
              <w:jc w:val="right"/>
              <w:rPr>
                <w:color w:val="000000"/>
                <w:szCs w:val="24"/>
                <w:lang w:eastAsia="lt-LT"/>
              </w:rPr>
            </w:pPr>
            <w:r w:rsidRPr="00516098">
              <w:rPr>
                <w:color w:val="000000"/>
                <w:szCs w:val="24"/>
                <w:lang w:eastAsia="lt-LT"/>
              </w:rPr>
              <w:t>2 124,6</w:t>
            </w:r>
          </w:p>
        </w:tc>
        <w:tc>
          <w:tcPr>
            <w:tcW w:w="1450" w:type="dxa"/>
            <w:tcBorders>
              <w:top w:val="nil"/>
              <w:left w:val="nil"/>
              <w:bottom w:val="single" w:sz="4" w:space="0" w:color="auto"/>
              <w:right w:val="single" w:sz="4" w:space="0" w:color="auto"/>
            </w:tcBorders>
            <w:noWrap/>
            <w:vAlign w:val="bottom"/>
            <w:hideMark/>
          </w:tcPr>
          <w:p w14:paraId="3485F589" w14:textId="77777777" w:rsidR="00516098" w:rsidRPr="00516098" w:rsidRDefault="00516098" w:rsidP="00516098">
            <w:pPr>
              <w:jc w:val="right"/>
              <w:rPr>
                <w:color w:val="000000"/>
                <w:szCs w:val="24"/>
                <w:lang w:eastAsia="lt-LT"/>
              </w:rPr>
            </w:pPr>
            <w:r w:rsidRPr="00516098">
              <w:rPr>
                <w:color w:val="000000"/>
                <w:szCs w:val="24"/>
                <w:lang w:eastAsia="lt-LT"/>
              </w:rPr>
              <w:t xml:space="preserve">2 123,3 </w:t>
            </w:r>
          </w:p>
        </w:tc>
        <w:tc>
          <w:tcPr>
            <w:tcW w:w="1271" w:type="dxa"/>
            <w:tcBorders>
              <w:top w:val="nil"/>
              <w:left w:val="nil"/>
              <w:bottom w:val="single" w:sz="4" w:space="0" w:color="auto"/>
              <w:right w:val="single" w:sz="4" w:space="0" w:color="auto"/>
            </w:tcBorders>
            <w:noWrap/>
            <w:vAlign w:val="bottom"/>
            <w:hideMark/>
          </w:tcPr>
          <w:p w14:paraId="12294B02" w14:textId="77777777" w:rsidR="00516098" w:rsidRPr="00516098" w:rsidRDefault="00516098" w:rsidP="00516098">
            <w:pPr>
              <w:jc w:val="right"/>
              <w:rPr>
                <w:szCs w:val="24"/>
                <w:lang w:eastAsia="lt-LT"/>
              </w:rPr>
            </w:pPr>
            <w:r w:rsidRPr="00516098">
              <w:rPr>
                <w:szCs w:val="24"/>
                <w:lang w:eastAsia="lt-LT"/>
              </w:rPr>
              <w:t>99,9</w:t>
            </w:r>
          </w:p>
        </w:tc>
      </w:tr>
      <w:tr w:rsidR="00516098" w:rsidRPr="00516098" w14:paraId="2A7FF8D4" w14:textId="77777777" w:rsidTr="00516098">
        <w:trPr>
          <w:trHeight w:val="70"/>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13DFD9CD" w14:textId="77777777" w:rsidR="00516098" w:rsidRPr="00516098" w:rsidRDefault="00516098" w:rsidP="00516098">
            <w:pPr>
              <w:rPr>
                <w:color w:val="000000"/>
                <w:szCs w:val="24"/>
                <w:lang w:eastAsia="lt-LT"/>
              </w:rPr>
            </w:pPr>
            <w:r w:rsidRPr="00516098">
              <w:rPr>
                <w:color w:val="000000"/>
                <w:szCs w:val="24"/>
                <w:lang w:eastAsia="lt-LT"/>
              </w:rPr>
              <w:lastRenderedPageBreak/>
              <w:t>9. Merkinės krašto muziejus</w:t>
            </w:r>
          </w:p>
        </w:tc>
        <w:tc>
          <w:tcPr>
            <w:tcW w:w="1390" w:type="dxa"/>
            <w:tcBorders>
              <w:top w:val="single" w:sz="4" w:space="0" w:color="auto"/>
              <w:left w:val="single" w:sz="4" w:space="0" w:color="auto"/>
              <w:bottom w:val="single" w:sz="4" w:space="0" w:color="auto"/>
              <w:right w:val="single" w:sz="4" w:space="0" w:color="auto"/>
            </w:tcBorders>
            <w:vAlign w:val="bottom"/>
            <w:hideMark/>
          </w:tcPr>
          <w:p w14:paraId="0DB358C7" w14:textId="77777777" w:rsidR="00516098" w:rsidRPr="00516098" w:rsidRDefault="00516098" w:rsidP="00516098">
            <w:pPr>
              <w:jc w:val="right"/>
              <w:rPr>
                <w:color w:val="000000"/>
                <w:szCs w:val="24"/>
                <w:lang w:eastAsia="lt-LT"/>
              </w:rPr>
            </w:pPr>
            <w:r w:rsidRPr="00516098">
              <w:rPr>
                <w:color w:val="000000"/>
                <w:szCs w:val="24"/>
                <w:lang w:eastAsia="lt-LT"/>
              </w:rPr>
              <w:t>585,9</w:t>
            </w:r>
          </w:p>
        </w:tc>
        <w:tc>
          <w:tcPr>
            <w:tcW w:w="1450" w:type="dxa"/>
            <w:tcBorders>
              <w:top w:val="single" w:sz="4" w:space="0" w:color="auto"/>
              <w:left w:val="single" w:sz="4" w:space="0" w:color="auto"/>
              <w:bottom w:val="single" w:sz="4" w:space="0" w:color="auto"/>
              <w:right w:val="single" w:sz="4" w:space="0" w:color="auto"/>
            </w:tcBorders>
            <w:noWrap/>
            <w:vAlign w:val="bottom"/>
            <w:hideMark/>
          </w:tcPr>
          <w:p w14:paraId="346192D3" w14:textId="77777777" w:rsidR="00516098" w:rsidRPr="00516098" w:rsidRDefault="00516098" w:rsidP="00516098">
            <w:pPr>
              <w:jc w:val="right"/>
              <w:rPr>
                <w:color w:val="000000"/>
                <w:szCs w:val="24"/>
                <w:lang w:eastAsia="lt-LT"/>
              </w:rPr>
            </w:pPr>
            <w:r w:rsidRPr="00516098">
              <w:rPr>
                <w:color w:val="000000"/>
                <w:szCs w:val="24"/>
                <w:lang w:eastAsia="lt-LT"/>
              </w:rPr>
              <w:t xml:space="preserve">583,5 </w:t>
            </w:r>
          </w:p>
        </w:tc>
        <w:tc>
          <w:tcPr>
            <w:tcW w:w="1271" w:type="dxa"/>
            <w:tcBorders>
              <w:top w:val="single" w:sz="4" w:space="0" w:color="auto"/>
              <w:left w:val="single" w:sz="4" w:space="0" w:color="auto"/>
              <w:bottom w:val="single" w:sz="4" w:space="0" w:color="auto"/>
              <w:right w:val="single" w:sz="4" w:space="0" w:color="auto"/>
            </w:tcBorders>
            <w:noWrap/>
            <w:vAlign w:val="bottom"/>
            <w:hideMark/>
          </w:tcPr>
          <w:p w14:paraId="1E4A7BE6" w14:textId="77777777" w:rsidR="00516098" w:rsidRPr="00516098" w:rsidRDefault="00516098" w:rsidP="00516098">
            <w:pPr>
              <w:jc w:val="right"/>
              <w:rPr>
                <w:szCs w:val="24"/>
                <w:lang w:eastAsia="lt-LT"/>
              </w:rPr>
            </w:pPr>
            <w:r w:rsidRPr="00516098">
              <w:rPr>
                <w:szCs w:val="24"/>
                <w:lang w:eastAsia="lt-LT"/>
              </w:rPr>
              <w:t>99,6</w:t>
            </w:r>
          </w:p>
        </w:tc>
      </w:tr>
      <w:tr w:rsidR="00516098" w:rsidRPr="00516098" w14:paraId="0F76F8E8" w14:textId="77777777" w:rsidTr="00516098">
        <w:trPr>
          <w:trHeight w:val="70"/>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0A79A16E" w14:textId="77777777" w:rsidR="00516098" w:rsidRPr="00516098" w:rsidRDefault="00516098" w:rsidP="00516098">
            <w:pPr>
              <w:rPr>
                <w:color w:val="000000"/>
                <w:szCs w:val="24"/>
                <w:lang w:eastAsia="lt-LT"/>
              </w:rPr>
            </w:pPr>
            <w:r w:rsidRPr="00516098">
              <w:rPr>
                <w:color w:val="000000"/>
                <w:szCs w:val="24"/>
                <w:lang w:eastAsia="lt-LT"/>
              </w:rPr>
              <w:t>10. Varėnos „Ąžuolo“ gimnazija</w:t>
            </w:r>
          </w:p>
        </w:tc>
        <w:tc>
          <w:tcPr>
            <w:tcW w:w="1390" w:type="dxa"/>
            <w:tcBorders>
              <w:top w:val="single" w:sz="4" w:space="0" w:color="auto"/>
              <w:left w:val="nil"/>
              <w:bottom w:val="single" w:sz="4" w:space="0" w:color="auto"/>
              <w:right w:val="single" w:sz="4" w:space="0" w:color="auto"/>
            </w:tcBorders>
            <w:vAlign w:val="bottom"/>
            <w:hideMark/>
          </w:tcPr>
          <w:p w14:paraId="7732A637" w14:textId="77777777" w:rsidR="00516098" w:rsidRPr="00516098" w:rsidRDefault="00516098" w:rsidP="00516098">
            <w:pPr>
              <w:jc w:val="right"/>
              <w:rPr>
                <w:color w:val="000000"/>
                <w:szCs w:val="24"/>
                <w:lang w:eastAsia="lt-LT"/>
              </w:rPr>
            </w:pPr>
            <w:r w:rsidRPr="00516098">
              <w:rPr>
                <w:color w:val="000000"/>
                <w:szCs w:val="24"/>
                <w:lang w:eastAsia="lt-LT"/>
              </w:rPr>
              <w:t>2 037,4</w:t>
            </w:r>
          </w:p>
        </w:tc>
        <w:tc>
          <w:tcPr>
            <w:tcW w:w="1450" w:type="dxa"/>
            <w:tcBorders>
              <w:top w:val="single" w:sz="4" w:space="0" w:color="auto"/>
              <w:left w:val="nil"/>
              <w:bottom w:val="single" w:sz="4" w:space="0" w:color="auto"/>
              <w:right w:val="single" w:sz="4" w:space="0" w:color="auto"/>
            </w:tcBorders>
            <w:noWrap/>
            <w:vAlign w:val="bottom"/>
            <w:hideMark/>
          </w:tcPr>
          <w:p w14:paraId="6D1F8117" w14:textId="77777777" w:rsidR="00516098" w:rsidRPr="00516098" w:rsidRDefault="00516098" w:rsidP="00516098">
            <w:pPr>
              <w:jc w:val="right"/>
              <w:rPr>
                <w:color w:val="000000"/>
                <w:szCs w:val="24"/>
                <w:lang w:eastAsia="lt-LT"/>
              </w:rPr>
            </w:pPr>
            <w:r w:rsidRPr="00516098">
              <w:rPr>
                <w:color w:val="000000"/>
                <w:szCs w:val="24"/>
                <w:lang w:eastAsia="lt-LT"/>
              </w:rPr>
              <w:t xml:space="preserve">2 031,1 </w:t>
            </w:r>
          </w:p>
        </w:tc>
        <w:tc>
          <w:tcPr>
            <w:tcW w:w="1271" w:type="dxa"/>
            <w:tcBorders>
              <w:top w:val="single" w:sz="4" w:space="0" w:color="auto"/>
              <w:left w:val="nil"/>
              <w:bottom w:val="single" w:sz="4" w:space="0" w:color="auto"/>
              <w:right w:val="single" w:sz="4" w:space="0" w:color="auto"/>
            </w:tcBorders>
            <w:noWrap/>
            <w:vAlign w:val="bottom"/>
            <w:hideMark/>
          </w:tcPr>
          <w:p w14:paraId="6CA84BF5" w14:textId="77777777" w:rsidR="00516098" w:rsidRPr="00516098" w:rsidRDefault="00516098" w:rsidP="00516098">
            <w:pPr>
              <w:jc w:val="right"/>
              <w:rPr>
                <w:szCs w:val="24"/>
                <w:lang w:eastAsia="lt-LT"/>
              </w:rPr>
            </w:pPr>
            <w:r w:rsidRPr="00516098">
              <w:rPr>
                <w:szCs w:val="24"/>
                <w:lang w:eastAsia="lt-LT"/>
              </w:rPr>
              <w:t>99,7</w:t>
            </w:r>
          </w:p>
        </w:tc>
      </w:tr>
      <w:tr w:rsidR="00516098" w:rsidRPr="00516098" w14:paraId="0D551013"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62379C58" w14:textId="77777777" w:rsidR="00516098" w:rsidRPr="00516098" w:rsidRDefault="00516098" w:rsidP="00516098">
            <w:pPr>
              <w:rPr>
                <w:color w:val="000000"/>
                <w:szCs w:val="24"/>
                <w:lang w:eastAsia="lt-LT"/>
              </w:rPr>
            </w:pPr>
            <w:r w:rsidRPr="00516098">
              <w:rPr>
                <w:color w:val="000000"/>
                <w:szCs w:val="24"/>
                <w:lang w:eastAsia="lt-LT"/>
              </w:rPr>
              <w:t>11. Varėnos „Ryto“ progimnazija</w:t>
            </w:r>
          </w:p>
        </w:tc>
        <w:tc>
          <w:tcPr>
            <w:tcW w:w="1390" w:type="dxa"/>
            <w:tcBorders>
              <w:top w:val="nil"/>
              <w:left w:val="nil"/>
              <w:bottom w:val="single" w:sz="4" w:space="0" w:color="auto"/>
              <w:right w:val="single" w:sz="4" w:space="0" w:color="auto"/>
            </w:tcBorders>
            <w:vAlign w:val="bottom"/>
            <w:hideMark/>
          </w:tcPr>
          <w:p w14:paraId="0A75C16D" w14:textId="77777777" w:rsidR="00516098" w:rsidRPr="00516098" w:rsidRDefault="00516098" w:rsidP="00516098">
            <w:pPr>
              <w:jc w:val="right"/>
              <w:rPr>
                <w:color w:val="000000"/>
                <w:szCs w:val="24"/>
                <w:lang w:eastAsia="lt-LT"/>
              </w:rPr>
            </w:pPr>
            <w:r w:rsidRPr="00516098">
              <w:rPr>
                <w:color w:val="000000"/>
                <w:szCs w:val="24"/>
                <w:lang w:eastAsia="lt-LT"/>
              </w:rPr>
              <w:t>3 252,7</w:t>
            </w:r>
          </w:p>
        </w:tc>
        <w:tc>
          <w:tcPr>
            <w:tcW w:w="1450" w:type="dxa"/>
            <w:tcBorders>
              <w:top w:val="nil"/>
              <w:left w:val="nil"/>
              <w:bottom w:val="single" w:sz="4" w:space="0" w:color="auto"/>
              <w:right w:val="single" w:sz="4" w:space="0" w:color="auto"/>
            </w:tcBorders>
            <w:noWrap/>
            <w:vAlign w:val="bottom"/>
            <w:hideMark/>
          </w:tcPr>
          <w:p w14:paraId="628A23D3" w14:textId="77777777" w:rsidR="00516098" w:rsidRPr="00516098" w:rsidRDefault="00516098" w:rsidP="00516098">
            <w:pPr>
              <w:jc w:val="right"/>
              <w:rPr>
                <w:color w:val="000000"/>
                <w:szCs w:val="24"/>
                <w:lang w:eastAsia="lt-LT"/>
              </w:rPr>
            </w:pPr>
            <w:r w:rsidRPr="00516098">
              <w:rPr>
                <w:color w:val="000000"/>
                <w:szCs w:val="24"/>
                <w:lang w:eastAsia="lt-LT"/>
              </w:rPr>
              <w:t xml:space="preserve">3 249,1 </w:t>
            </w:r>
          </w:p>
        </w:tc>
        <w:tc>
          <w:tcPr>
            <w:tcW w:w="1271" w:type="dxa"/>
            <w:tcBorders>
              <w:top w:val="nil"/>
              <w:left w:val="nil"/>
              <w:bottom w:val="single" w:sz="4" w:space="0" w:color="auto"/>
              <w:right w:val="single" w:sz="4" w:space="0" w:color="auto"/>
            </w:tcBorders>
            <w:noWrap/>
            <w:vAlign w:val="bottom"/>
            <w:hideMark/>
          </w:tcPr>
          <w:p w14:paraId="688D3C74" w14:textId="77777777" w:rsidR="00516098" w:rsidRPr="00516098" w:rsidRDefault="00516098" w:rsidP="00516098">
            <w:pPr>
              <w:jc w:val="right"/>
              <w:rPr>
                <w:szCs w:val="24"/>
                <w:lang w:eastAsia="lt-LT"/>
              </w:rPr>
            </w:pPr>
            <w:r w:rsidRPr="00516098">
              <w:rPr>
                <w:szCs w:val="24"/>
                <w:lang w:eastAsia="lt-LT"/>
              </w:rPr>
              <w:t>99,9</w:t>
            </w:r>
          </w:p>
        </w:tc>
      </w:tr>
      <w:tr w:rsidR="00516098" w:rsidRPr="00516098" w14:paraId="59AEE645" w14:textId="77777777" w:rsidTr="00516098">
        <w:trPr>
          <w:trHeight w:val="315"/>
          <w:jc w:val="center"/>
        </w:trPr>
        <w:tc>
          <w:tcPr>
            <w:tcW w:w="5382" w:type="dxa"/>
            <w:tcBorders>
              <w:top w:val="nil"/>
              <w:left w:val="single" w:sz="4" w:space="0" w:color="auto"/>
              <w:bottom w:val="single" w:sz="4" w:space="0" w:color="auto"/>
              <w:right w:val="single" w:sz="4" w:space="0" w:color="auto"/>
            </w:tcBorders>
            <w:vAlign w:val="center"/>
            <w:hideMark/>
          </w:tcPr>
          <w:p w14:paraId="13566BE4" w14:textId="77777777" w:rsidR="00516098" w:rsidRPr="00516098" w:rsidRDefault="00516098" w:rsidP="00516098">
            <w:pPr>
              <w:rPr>
                <w:color w:val="000000"/>
                <w:szCs w:val="24"/>
                <w:lang w:eastAsia="lt-LT"/>
              </w:rPr>
            </w:pPr>
            <w:r w:rsidRPr="00516098">
              <w:rPr>
                <w:color w:val="000000"/>
                <w:szCs w:val="24"/>
                <w:lang w:eastAsia="lt-LT"/>
              </w:rPr>
              <w:t xml:space="preserve">12. Varėnos r. Senosios Varėnos Andriaus </w:t>
            </w:r>
            <w:proofErr w:type="spellStart"/>
            <w:r w:rsidRPr="00516098">
              <w:rPr>
                <w:color w:val="000000"/>
                <w:szCs w:val="24"/>
                <w:lang w:eastAsia="lt-LT"/>
              </w:rPr>
              <w:t>Ryliškio</w:t>
            </w:r>
            <w:proofErr w:type="spellEnd"/>
            <w:r w:rsidRPr="00516098">
              <w:rPr>
                <w:color w:val="000000"/>
                <w:szCs w:val="24"/>
                <w:lang w:eastAsia="lt-LT"/>
              </w:rPr>
              <w:t xml:space="preserve"> pagrindinė mokykla</w:t>
            </w:r>
          </w:p>
        </w:tc>
        <w:tc>
          <w:tcPr>
            <w:tcW w:w="1390" w:type="dxa"/>
            <w:tcBorders>
              <w:top w:val="nil"/>
              <w:left w:val="nil"/>
              <w:bottom w:val="single" w:sz="4" w:space="0" w:color="auto"/>
              <w:right w:val="single" w:sz="4" w:space="0" w:color="auto"/>
            </w:tcBorders>
            <w:vAlign w:val="bottom"/>
            <w:hideMark/>
          </w:tcPr>
          <w:p w14:paraId="7575CC23" w14:textId="77777777" w:rsidR="00516098" w:rsidRPr="00516098" w:rsidRDefault="00516098" w:rsidP="00516098">
            <w:pPr>
              <w:jc w:val="right"/>
              <w:rPr>
                <w:color w:val="000000"/>
                <w:szCs w:val="24"/>
                <w:lang w:eastAsia="lt-LT"/>
              </w:rPr>
            </w:pPr>
            <w:r w:rsidRPr="00516098">
              <w:rPr>
                <w:color w:val="000000"/>
                <w:szCs w:val="24"/>
                <w:lang w:eastAsia="lt-LT"/>
              </w:rPr>
              <w:t>2 176,7</w:t>
            </w:r>
          </w:p>
        </w:tc>
        <w:tc>
          <w:tcPr>
            <w:tcW w:w="1450" w:type="dxa"/>
            <w:tcBorders>
              <w:top w:val="nil"/>
              <w:left w:val="nil"/>
              <w:bottom w:val="single" w:sz="4" w:space="0" w:color="auto"/>
              <w:right w:val="single" w:sz="4" w:space="0" w:color="auto"/>
            </w:tcBorders>
            <w:noWrap/>
            <w:vAlign w:val="bottom"/>
            <w:hideMark/>
          </w:tcPr>
          <w:p w14:paraId="43255167" w14:textId="77777777" w:rsidR="00516098" w:rsidRPr="00516098" w:rsidRDefault="00516098" w:rsidP="00516098">
            <w:pPr>
              <w:jc w:val="right"/>
              <w:rPr>
                <w:color w:val="000000"/>
                <w:szCs w:val="24"/>
                <w:lang w:eastAsia="lt-LT"/>
              </w:rPr>
            </w:pPr>
            <w:r w:rsidRPr="00516098">
              <w:rPr>
                <w:color w:val="000000"/>
                <w:szCs w:val="24"/>
                <w:lang w:eastAsia="lt-LT"/>
              </w:rPr>
              <w:t xml:space="preserve">2 161,0 </w:t>
            </w:r>
          </w:p>
        </w:tc>
        <w:tc>
          <w:tcPr>
            <w:tcW w:w="1271" w:type="dxa"/>
            <w:tcBorders>
              <w:top w:val="nil"/>
              <w:left w:val="nil"/>
              <w:bottom w:val="single" w:sz="4" w:space="0" w:color="auto"/>
              <w:right w:val="single" w:sz="4" w:space="0" w:color="auto"/>
            </w:tcBorders>
            <w:noWrap/>
            <w:vAlign w:val="bottom"/>
            <w:hideMark/>
          </w:tcPr>
          <w:p w14:paraId="09B0AB79" w14:textId="77777777" w:rsidR="00516098" w:rsidRPr="00516098" w:rsidRDefault="00516098" w:rsidP="00516098">
            <w:pPr>
              <w:jc w:val="right"/>
              <w:rPr>
                <w:szCs w:val="24"/>
                <w:lang w:eastAsia="lt-LT"/>
              </w:rPr>
            </w:pPr>
            <w:r w:rsidRPr="00516098">
              <w:rPr>
                <w:szCs w:val="24"/>
                <w:lang w:eastAsia="lt-LT"/>
              </w:rPr>
              <w:t>99,3</w:t>
            </w:r>
          </w:p>
        </w:tc>
      </w:tr>
      <w:tr w:rsidR="00516098" w:rsidRPr="00516098" w14:paraId="3EC85E74"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25C4D071" w14:textId="77777777" w:rsidR="00516098" w:rsidRPr="00516098" w:rsidRDefault="00516098" w:rsidP="00516098">
            <w:pPr>
              <w:rPr>
                <w:color w:val="000000"/>
                <w:szCs w:val="24"/>
                <w:lang w:eastAsia="lt-LT"/>
              </w:rPr>
            </w:pPr>
            <w:r w:rsidRPr="00516098">
              <w:rPr>
                <w:color w:val="000000"/>
                <w:szCs w:val="24"/>
                <w:lang w:eastAsia="lt-LT"/>
              </w:rPr>
              <w:t>13. Varėnos r. Matuizų pagrindinė mokykla</w:t>
            </w:r>
          </w:p>
        </w:tc>
        <w:tc>
          <w:tcPr>
            <w:tcW w:w="1390" w:type="dxa"/>
            <w:tcBorders>
              <w:top w:val="nil"/>
              <w:left w:val="nil"/>
              <w:bottom w:val="single" w:sz="4" w:space="0" w:color="auto"/>
              <w:right w:val="single" w:sz="4" w:space="0" w:color="auto"/>
            </w:tcBorders>
            <w:vAlign w:val="bottom"/>
            <w:hideMark/>
          </w:tcPr>
          <w:p w14:paraId="0A7D3DB2" w14:textId="77777777" w:rsidR="00516098" w:rsidRPr="00516098" w:rsidRDefault="00516098" w:rsidP="00516098">
            <w:pPr>
              <w:jc w:val="right"/>
              <w:rPr>
                <w:color w:val="000000"/>
                <w:szCs w:val="24"/>
                <w:lang w:eastAsia="lt-LT"/>
              </w:rPr>
            </w:pPr>
            <w:r w:rsidRPr="00516098">
              <w:rPr>
                <w:color w:val="000000"/>
                <w:szCs w:val="24"/>
                <w:lang w:eastAsia="lt-LT"/>
              </w:rPr>
              <w:t>1 122,1</w:t>
            </w:r>
          </w:p>
        </w:tc>
        <w:tc>
          <w:tcPr>
            <w:tcW w:w="1450" w:type="dxa"/>
            <w:tcBorders>
              <w:top w:val="nil"/>
              <w:left w:val="nil"/>
              <w:bottom w:val="single" w:sz="4" w:space="0" w:color="auto"/>
              <w:right w:val="single" w:sz="4" w:space="0" w:color="auto"/>
            </w:tcBorders>
            <w:noWrap/>
            <w:vAlign w:val="bottom"/>
            <w:hideMark/>
          </w:tcPr>
          <w:p w14:paraId="01B48373" w14:textId="77777777" w:rsidR="00516098" w:rsidRPr="00516098" w:rsidRDefault="00516098" w:rsidP="00516098">
            <w:pPr>
              <w:jc w:val="right"/>
              <w:rPr>
                <w:color w:val="000000"/>
                <w:szCs w:val="24"/>
                <w:lang w:eastAsia="lt-LT"/>
              </w:rPr>
            </w:pPr>
            <w:r w:rsidRPr="00516098">
              <w:rPr>
                <w:color w:val="000000"/>
                <w:szCs w:val="24"/>
                <w:lang w:eastAsia="lt-LT"/>
              </w:rPr>
              <w:t xml:space="preserve">1 121,5 </w:t>
            </w:r>
          </w:p>
        </w:tc>
        <w:tc>
          <w:tcPr>
            <w:tcW w:w="1271" w:type="dxa"/>
            <w:tcBorders>
              <w:top w:val="nil"/>
              <w:left w:val="nil"/>
              <w:bottom w:val="single" w:sz="4" w:space="0" w:color="auto"/>
              <w:right w:val="single" w:sz="4" w:space="0" w:color="auto"/>
            </w:tcBorders>
            <w:noWrap/>
            <w:vAlign w:val="bottom"/>
            <w:hideMark/>
          </w:tcPr>
          <w:p w14:paraId="05238595" w14:textId="77777777" w:rsidR="00516098" w:rsidRPr="00516098" w:rsidRDefault="00516098" w:rsidP="00516098">
            <w:pPr>
              <w:jc w:val="right"/>
              <w:rPr>
                <w:szCs w:val="24"/>
                <w:lang w:eastAsia="lt-LT"/>
              </w:rPr>
            </w:pPr>
            <w:r w:rsidRPr="00516098">
              <w:rPr>
                <w:szCs w:val="24"/>
                <w:lang w:eastAsia="lt-LT"/>
              </w:rPr>
              <w:t>99,9</w:t>
            </w:r>
          </w:p>
        </w:tc>
      </w:tr>
      <w:tr w:rsidR="00516098" w:rsidRPr="00516098" w14:paraId="623BC07C"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27DC50E3" w14:textId="77777777" w:rsidR="00516098" w:rsidRPr="00516098" w:rsidRDefault="00516098" w:rsidP="00516098">
            <w:pPr>
              <w:rPr>
                <w:color w:val="000000"/>
                <w:szCs w:val="24"/>
                <w:lang w:eastAsia="lt-LT"/>
              </w:rPr>
            </w:pPr>
            <w:r w:rsidRPr="00516098">
              <w:rPr>
                <w:color w:val="000000"/>
                <w:szCs w:val="24"/>
                <w:lang w:eastAsia="lt-LT"/>
              </w:rPr>
              <w:t>14. Varėnos r. „Merkio“ gimnazija</w:t>
            </w:r>
          </w:p>
        </w:tc>
        <w:tc>
          <w:tcPr>
            <w:tcW w:w="1390" w:type="dxa"/>
            <w:tcBorders>
              <w:top w:val="nil"/>
              <w:left w:val="nil"/>
              <w:bottom w:val="single" w:sz="4" w:space="0" w:color="auto"/>
              <w:right w:val="single" w:sz="4" w:space="0" w:color="auto"/>
            </w:tcBorders>
            <w:vAlign w:val="bottom"/>
            <w:hideMark/>
          </w:tcPr>
          <w:p w14:paraId="4A17ED54" w14:textId="77777777" w:rsidR="00516098" w:rsidRPr="00516098" w:rsidRDefault="00516098" w:rsidP="00516098">
            <w:pPr>
              <w:jc w:val="right"/>
              <w:rPr>
                <w:color w:val="000000"/>
                <w:szCs w:val="24"/>
                <w:lang w:eastAsia="lt-LT"/>
              </w:rPr>
            </w:pPr>
            <w:r w:rsidRPr="00516098">
              <w:rPr>
                <w:color w:val="000000"/>
                <w:szCs w:val="24"/>
                <w:lang w:eastAsia="lt-LT"/>
              </w:rPr>
              <w:t>3 280,0</w:t>
            </w:r>
          </w:p>
        </w:tc>
        <w:tc>
          <w:tcPr>
            <w:tcW w:w="1450" w:type="dxa"/>
            <w:tcBorders>
              <w:top w:val="nil"/>
              <w:left w:val="nil"/>
              <w:bottom w:val="single" w:sz="4" w:space="0" w:color="auto"/>
              <w:right w:val="single" w:sz="4" w:space="0" w:color="auto"/>
            </w:tcBorders>
            <w:noWrap/>
            <w:vAlign w:val="bottom"/>
            <w:hideMark/>
          </w:tcPr>
          <w:p w14:paraId="12F899B1" w14:textId="77777777" w:rsidR="00516098" w:rsidRPr="00516098" w:rsidRDefault="00516098" w:rsidP="00516098">
            <w:pPr>
              <w:jc w:val="right"/>
              <w:rPr>
                <w:color w:val="000000"/>
                <w:szCs w:val="24"/>
                <w:lang w:eastAsia="lt-LT"/>
              </w:rPr>
            </w:pPr>
            <w:r w:rsidRPr="00516098">
              <w:rPr>
                <w:color w:val="000000"/>
                <w:szCs w:val="24"/>
                <w:lang w:eastAsia="lt-LT"/>
              </w:rPr>
              <w:t xml:space="preserve">3 265,0 </w:t>
            </w:r>
          </w:p>
        </w:tc>
        <w:tc>
          <w:tcPr>
            <w:tcW w:w="1271" w:type="dxa"/>
            <w:tcBorders>
              <w:top w:val="nil"/>
              <w:left w:val="nil"/>
              <w:bottom w:val="single" w:sz="4" w:space="0" w:color="auto"/>
              <w:right w:val="single" w:sz="4" w:space="0" w:color="auto"/>
            </w:tcBorders>
            <w:noWrap/>
            <w:vAlign w:val="bottom"/>
            <w:hideMark/>
          </w:tcPr>
          <w:p w14:paraId="662CDD89" w14:textId="77777777" w:rsidR="00516098" w:rsidRPr="00516098" w:rsidRDefault="00516098" w:rsidP="00516098">
            <w:pPr>
              <w:jc w:val="right"/>
              <w:rPr>
                <w:szCs w:val="24"/>
                <w:lang w:eastAsia="lt-LT"/>
              </w:rPr>
            </w:pPr>
            <w:r w:rsidRPr="00516098">
              <w:rPr>
                <w:szCs w:val="24"/>
                <w:lang w:eastAsia="lt-LT"/>
              </w:rPr>
              <w:t>99,5</w:t>
            </w:r>
          </w:p>
        </w:tc>
      </w:tr>
      <w:tr w:rsidR="00516098" w:rsidRPr="00516098" w14:paraId="468FC81B"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29544E95" w14:textId="77777777" w:rsidR="00516098" w:rsidRPr="00516098" w:rsidRDefault="00516098" w:rsidP="00516098">
            <w:pPr>
              <w:rPr>
                <w:color w:val="000000"/>
                <w:szCs w:val="24"/>
                <w:lang w:eastAsia="lt-LT"/>
              </w:rPr>
            </w:pPr>
            <w:r w:rsidRPr="00516098">
              <w:rPr>
                <w:color w:val="000000"/>
                <w:szCs w:val="24"/>
                <w:lang w:eastAsia="lt-LT"/>
              </w:rPr>
              <w:t>15. Varėnos r. Liškiavos daugiafunkcis centras</w:t>
            </w:r>
          </w:p>
        </w:tc>
        <w:tc>
          <w:tcPr>
            <w:tcW w:w="1390" w:type="dxa"/>
            <w:tcBorders>
              <w:top w:val="nil"/>
              <w:left w:val="nil"/>
              <w:bottom w:val="single" w:sz="4" w:space="0" w:color="auto"/>
              <w:right w:val="single" w:sz="4" w:space="0" w:color="auto"/>
            </w:tcBorders>
            <w:vAlign w:val="bottom"/>
            <w:hideMark/>
          </w:tcPr>
          <w:p w14:paraId="2257756F" w14:textId="77777777" w:rsidR="00516098" w:rsidRPr="00516098" w:rsidRDefault="00516098" w:rsidP="00516098">
            <w:pPr>
              <w:jc w:val="right"/>
              <w:rPr>
                <w:color w:val="000000"/>
                <w:szCs w:val="24"/>
                <w:lang w:eastAsia="lt-LT"/>
              </w:rPr>
            </w:pPr>
            <w:r w:rsidRPr="00516098">
              <w:rPr>
                <w:color w:val="000000"/>
                <w:szCs w:val="24"/>
                <w:lang w:eastAsia="lt-LT"/>
              </w:rPr>
              <w:t>169,8</w:t>
            </w:r>
          </w:p>
        </w:tc>
        <w:tc>
          <w:tcPr>
            <w:tcW w:w="1450" w:type="dxa"/>
            <w:tcBorders>
              <w:top w:val="nil"/>
              <w:left w:val="nil"/>
              <w:bottom w:val="single" w:sz="4" w:space="0" w:color="auto"/>
              <w:right w:val="single" w:sz="4" w:space="0" w:color="auto"/>
            </w:tcBorders>
            <w:noWrap/>
            <w:vAlign w:val="bottom"/>
            <w:hideMark/>
          </w:tcPr>
          <w:p w14:paraId="1040EBDC" w14:textId="77777777" w:rsidR="00516098" w:rsidRPr="00516098" w:rsidRDefault="00516098" w:rsidP="00516098">
            <w:pPr>
              <w:jc w:val="right"/>
              <w:rPr>
                <w:color w:val="000000"/>
                <w:szCs w:val="24"/>
                <w:lang w:eastAsia="lt-LT"/>
              </w:rPr>
            </w:pPr>
            <w:r w:rsidRPr="00516098">
              <w:rPr>
                <w:color w:val="000000"/>
                <w:szCs w:val="24"/>
                <w:lang w:eastAsia="lt-LT"/>
              </w:rPr>
              <w:t xml:space="preserve">165,4 </w:t>
            </w:r>
          </w:p>
        </w:tc>
        <w:tc>
          <w:tcPr>
            <w:tcW w:w="1271" w:type="dxa"/>
            <w:tcBorders>
              <w:top w:val="nil"/>
              <w:left w:val="nil"/>
              <w:bottom w:val="single" w:sz="4" w:space="0" w:color="auto"/>
              <w:right w:val="single" w:sz="4" w:space="0" w:color="auto"/>
            </w:tcBorders>
            <w:noWrap/>
            <w:vAlign w:val="bottom"/>
            <w:hideMark/>
          </w:tcPr>
          <w:p w14:paraId="25A503CE" w14:textId="77777777" w:rsidR="00516098" w:rsidRPr="00516098" w:rsidRDefault="00516098" w:rsidP="00516098">
            <w:pPr>
              <w:jc w:val="right"/>
              <w:rPr>
                <w:szCs w:val="24"/>
                <w:lang w:eastAsia="lt-LT"/>
              </w:rPr>
            </w:pPr>
            <w:r w:rsidRPr="00516098">
              <w:rPr>
                <w:szCs w:val="24"/>
                <w:lang w:eastAsia="lt-LT"/>
              </w:rPr>
              <w:t>97,4</w:t>
            </w:r>
          </w:p>
        </w:tc>
      </w:tr>
      <w:tr w:rsidR="00516098" w:rsidRPr="00516098" w14:paraId="513FDE9D" w14:textId="77777777" w:rsidTr="00516098">
        <w:trPr>
          <w:trHeight w:val="107"/>
          <w:jc w:val="center"/>
        </w:trPr>
        <w:tc>
          <w:tcPr>
            <w:tcW w:w="5382" w:type="dxa"/>
            <w:tcBorders>
              <w:top w:val="nil"/>
              <w:left w:val="single" w:sz="4" w:space="0" w:color="auto"/>
              <w:bottom w:val="single" w:sz="4" w:space="0" w:color="auto"/>
              <w:right w:val="single" w:sz="4" w:space="0" w:color="auto"/>
            </w:tcBorders>
            <w:vAlign w:val="center"/>
            <w:hideMark/>
          </w:tcPr>
          <w:p w14:paraId="14FC9E96" w14:textId="77777777" w:rsidR="00516098" w:rsidRPr="00516098" w:rsidRDefault="00516098" w:rsidP="00516098">
            <w:pPr>
              <w:rPr>
                <w:color w:val="000000"/>
                <w:szCs w:val="24"/>
                <w:lang w:eastAsia="lt-LT"/>
              </w:rPr>
            </w:pPr>
            <w:r w:rsidRPr="00516098">
              <w:rPr>
                <w:color w:val="000000"/>
                <w:szCs w:val="24"/>
                <w:lang w:eastAsia="lt-LT"/>
              </w:rPr>
              <w:t>16. Varėnos r. Perlojos daugiafunkcis centras</w:t>
            </w:r>
          </w:p>
        </w:tc>
        <w:tc>
          <w:tcPr>
            <w:tcW w:w="1390" w:type="dxa"/>
            <w:tcBorders>
              <w:top w:val="nil"/>
              <w:left w:val="nil"/>
              <w:bottom w:val="single" w:sz="4" w:space="0" w:color="auto"/>
              <w:right w:val="single" w:sz="4" w:space="0" w:color="auto"/>
            </w:tcBorders>
            <w:vAlign w:val="bottom"/>
            <w:hideMark/>
          </w:tcPr>
          <w:p w14:paraId="3A5C8DC0" w14:textId="77777777" w:rsidR="00516098" w:rsidRPr="00516098" w:rsidRDefault="00516098" w:rsidP="00516098">
            <w:pPr>
              <w:jc w:val="right"/>
              <w:rPr>
                <w:color w:val="000000"/>
                <w:szCs w:val="24"/>
                <w:lang w:eastAsia="lt-LT"/>
              </w:rPr>
            </w:pPr>
            <w:r w:rsidRPr="00516098">
              <w:rPr>
                <w:color w:val="000000"/>
                <w:szCs w:val="24"/>
                <w:lang w:eastAsia="lt-LT"/>
              </w:rPr>
              <w:t>179,2</w:t>
            </w:r>
          </w:p>
        </w:tc>
        <w:tc>
          <w:tcPr>
            <w:tcW w:w="1450" w:type="dxa"/>
            <w:tcBorders>
              <w:top w:val="nil"/>
              <w:left w:val="nil"/>
              <w:bottom w:val="single" w:sz="4" w:space="0" w:color="auto"/>
              <w:right w:val="single" w:sz="4" w:space="0" w:color="auto"/>
            </w:tcBorders>
            <w:noWrap/>
            <w:vAlign w:val="bottom"/>
            <w:hideMark/>
          </w:tcPr>
          <w:p w14:paraId="0BB6CD81" w14:textId="77777777" w:rsidR="00516098" w:rsidRPr="00516098" w:rsidRDefault="00516098" w:rsidP="00516098">
            <w:pPr>
              <w:jc w:val="right"/>
              <w:rPr>
                <w:color w:val="000000"/>
                <w:szCs w:val="24"/>
                <w:lang w:eastAsia="lt-LT"/>
              </w:rPr>
            </w:pPr>
            <w:r w:rsidRPr="00516098">
              <w:rPr>
                <w:color w:val="000000"/>
                <w:szCs w:val="24"/>
                <w:lang w:eastAsia="lt-LT"/>
              </w:rPr>
              <w:t xml:space="preserve">178,9 </w:t>
            </w:r>
          </w:p>
        </w:tc>
        <w:tc>
          <w:tcPr>
            <w:tcW w:w="1271" w:type="dxa"/>
            <w:tcBorders>
              <w:top w:val="nil"/>
              <w:left w:val="nil"/>
              <w:bottom w:val="single" w:sz="4" w:space="0" w:color="auto"/>
              <w:right w:val="single" w:sz="4" w:space="0" w:color="auto"/>
            </w:tcBorders>
            <w:noWrap/>
            <w:vAlign w:val="bottom"/>
            <w:hideMark/>
          </w:tcPr>
          <w:p w14:paraId="7EF67DAA" w14:textId="77777777" w:rsidR="00516098" w:rsidRPr="00516098" w:rsidRDefault="00516098" w:rsidP="00516098">
            <w:pPr>
              <w:jc w:val="right"/>
              <w:rPr>
                <w:szCs w:val="24"/>
                <w:lang w:eastAsia="lt-LT"/>
              </w:rPr>
            </w:pPr>
            <w:r w:rsidRPr="00516098">
              <w:rPr>
                <w:szCs w:val="24"/>
                <w:lang w:eastAsia="lt-LT"/>
              </w:rPr>
              <w:t>99,8</w:t>
            </w:r>
          </w:p>
        </w:tc>
      </w:tr>
      <w:tr w:rsidR="00516098" w:rsidRPr="00516098" w14:paraId="58DA4969" w14:textId="77777777" w:rsidTr="00516098">
        <w:trPr>
          <w:trHeight w:val="70"/>
          <w:jc w:val="center"/>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1A4C109E" w14:textId="77777777" w:rsidR="00516098" w:rsidRPr="00516098" w:rsidRDefault="00516098" w:rsidP="00516098">
            <w:pPr>
              <w:rPr>
                <w:color w:val="000000"/>
                <w:szCs w:val="24"/>
                <w:lang w:eastAsia="lt-LT"/>
              </w:rPr>
            </w:pPr>
            <w:r w:rsidRPr="00516098">
              <w:rPr>
                <w:color w:val="000000"/>
                <w:szCs w:val="24"/>
                <w:lang w:eastAsia="lt-LT"/>
              </w:rPr>
              <w:t>17. Varėnos turizmo ir verslumo centras „Korys“</w:t>
            </w:r>
          </w:p>
        </w:tc>
        <w:tc>
          <w:tcPr>
            <w:tcW w:w="1390" w:type="dxa"/>
            <w:tcBorders>
              <w:top w:val="nil"/>
              <w:left w:val="nil"/>
              <w:bottom w:val="single" w:sz="4" w:space="0" w:color="auto"/>
              <w:right w:val="single" w:sz="4" w:space="0" w:color="auto"/>
            </w:tcBorders>
            <w:shd w:val="clear" w:color="000000" w:fill="FFFFFF"/>
            <w:vAlign w:val="bottom"/>
            <w:hideMark/>
          </w:tcPr>
          <w:p w14:paraId="7326403B" w14:textId="77777777" w:rsidR="00516098" w:rsidRPr="00516098" w:rsidRDefault="00516098" w:rsidP="00516098">
            <w:pPr>
              <w:jc w:val="right"/>
              <w:rPr>
                <w:color w:val="000000"/>
                <w:szCs w:val="24"/>
                <w:lang w:eastAsia="lt-LT"/>
              </w:rPr>
            </w:pPr>
            <w:r w:rsidRPr="00516098">
              <w:rPr>
                <w:color w:val="000000"/>
                <w:szCs w:val="24"/>
                <w:lang w:eastAsia="lt-LT"/>
              </w:rPr>
              <w:t>60,0</w:t>
            </w:r>
          </w:p>
        </w:tc>
        <w:tc>
          <w:tcPr>
            <w:tcW w:w="1450" w:type="dxa"/>
            <w:tcBorders>
              <w:top w:val="nil"/>
              <w:left w:val="nil"/>
              <w:bottom w:val="single" w:sz="4" w:space="0" w:color="auto"/>
              <w:right w:val="single" w:sz="4" w:space="0" w:color="auto"/>
            </w:tcBorders>
            <w:noWrap/>
            <w:vAlign w:val="bottom"/>
            <w:hideMark/>
          </w:tcPr>
          <w:p w14:paraId="1D7B188A" w14:textId="77777777" w:rsidR="00516098" w:rsidRPr="00516098" w:rsidRDefault="00516098" w:rsidP="00516098">
            <w:pPr>
              <w:jc w:val="right"/>
              <w:rPr>
                <w:color w:val="000000"/>
                <w:szCs w:val="24"/>
                <w:lang w:eastAsia="lt-LT"/>
              </w:rPr>
            </w:pPr>
            <w:r w:rsidRPr="00516098">
              <w:rPr>
                <w:color w:val="000000"/>
                <w:szCs w:val="24"/>
                <w:lang w:eastAsia="lt-LT"/>
              </w:rPr>
              <w:t xml:space="preserve">44,7 </w:t>
            </w:r>
          </w:p>
        </w:tc>
        <w:tc>
          <w:tcPr>
            <w:tcW w:w="1271" w:type="dxa"/>
            <w:tcBorders>
              <w:top w:val="nil"/>
              <w:left w:val="nil"/>
              <w:bottom w:val="single" w:sz="4" w:space="0" w:color="auto"/>
              <w:right w:val="single" w:sz="4" w:space="0" w:color="auto"/>
            </w:tcBorders>
            <w:noWrap/>
            <w:vAlign w:val="bottom"/>
            <w:hideMark/>
          </w:tcPr>
          <w:p w14:paraId="1669186A" w14:textId="77777777" w:rsidR="00516098" w:rsidRPr="00516098" w:rsidRDefault="00516098" w:rsidP="00516098">
            <w:pPr>
              <w:jc w:val="right"/>
              <w:rPr>
                <w:szCs w:val="24"/>
                <w:lang w:eastAsia="lt-LT"/>
              </w:rPr>
            </w:pPr>
            <w:r w:rsidRPr="00516098">
              <w:rPr>
                <w:szCs w:val="24"/>
                <w:lang w:eastAsia="lt-LT"/>
              </w:rPr>
              <w:t>74,5</w:t>
            </w:r>
          </w:p>
        </w:tc>
      </w:tr>
      <w:tr w:rsidR="00516098" w:rsidRPr="00516098" w14:paraId="2DA54629"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493F361B" w14:textId="77777777" w:rsidR="00516098" w:rsidRPr="00516098" w:rsidRDefault="00516098" w:rsidP="00516098">
            <w:pPr>
              <w:rPr>
                <w:color w:val="000000"/>
                <w:szCs w:val="24"/>
                <w:lang w:eastAsia="lt-LT"/>
              </w:rPr>
            </w:pPr>
            <w:r w:rsidRPr="00516098">
              <w:rPr>
                <w:color w:val="000000"/>
                <w:szCs w:val="24"/>
                <w:lang w:eastAsia="lt-LT"/>
              </w:rPr>
              <w:t>18. Varėnos „Pasakos“ vaikų lopšelis-darželis</w:t>
            </w:r>
          </w:p>
        </w:tc>
        <w:tc>
          <w:tcPr>
            <w:tcW w:w="1390" w:type="dxa"/>
            <w:tcBorders>
              <w:top w:val="nil"/>
              <w:left w:val="nil"/>
              <w:bottom w:val="single" w:sz="4" w:space="0" w:color="auto"/>
              <w:right w:val="single" w:sz="4" w:space="0" w:color="auto"/>
            </w:tcBorders>
            <w:vAlign w:val="bottom"/>
            <w:hideMark/>
          </w:tcPr>
          <w:p w14:paraId="190B9868" w14:textId="77777777" w:rsidR="00516098" w:rsidRPr="00516098" w:rsidRDefault="00516098" w:rsidP="00516098">
            <w:pPr>
              <w:jc w:val="right"/>
              <w:rPr>
                <w:color w:val="000000"/>
                <w:szCs w:val="24"/>
                <w:lang w:eastAsia="lt-LT"/>
              </w:rPr>
            </w:pPr>
            <w:r w:rsidRPr="00516098">
              <w:rPr>
                <w:color w:val="000000"/>
                <w:szCs w:val="24"/>
                <w:lang w:eastAsia="lt-LT"/>
              </w:rPr>
              <w:t>1 048,5</w:t>
            </w:r>
          </w:p>
        </w:tc>
        <w:tc>
          <w:tcPr>
            <w:tcW w:w="1450" w:type="dxa"/>
            <w:tcBorders>
              <w:top w:val="nil"/>
              <w:left w:val="nil"/>
              <w:bottom w:val="single" w:sz="4" w:space="0" w:color="auto"/>
              <w:right w:val="single" w:sz="4" w:space="0" w:color="auto"/>
            </w:tcBorders>
            <w:noWrap/>
            <w:vAlign w:val="bottom"/>
            <w:hideMark/>
          </w:tcPr>
          <w:p w14:paraId="6CE28527" w14:textId="77777777" w:rsidR="00516098" w:rsidRPr="00516098" w:rsidRDefault="00516098" w:rsidP="00516098">
            <w:pPr>
              <w:jc w:val="right"/>
              <w:rPr>
                <w:color w:val="000000"/>
                <w:szCs w:val="24"/>
                <w:lang w:eastAsia="lt-LT"/>
              </w:rPr>
            </w:pPr>
            <w:r w:rsidRPr="00516098">
              <w:rPr>
                <w:color w:val="000000"/>
                <w:szCs w:val="24"/>
                <w:lang w:eastAsia="lt-LT"/>
              </w:rPr>
              <w:t xml:space="preserve">1 026,7 </w:t>
            </w:r>
          </w:p>
        </w:tc>
        <w:tc>
          <w:tcPr>
            <w:tcW w:w="1271" w:type="dxa"/>
            <w:tcBorders>
              <w:top w:val="nil"/>
              <w:left w:val="nil"/>
              <w:bottom w:val="single" w:sz="4" w:space="0" w:color="auto"/>
              <w:right w:val="single" w:sz="4" w:space="0" w:color="auto"/>
            </w:tcBorders>
            <w:noWrap/>
            <w:vAlign w:val="bottom"/>
            <w:hideMark/>
          </w:tcPr>
          <w:p w14:paraId="491B0BEC" w14:textId="77777777" w:rsidR="00516098" w:rsidRPr="00516098" w:rsidRDefault="00516098" w:rsidP="00516098">
            <w:pPr>
              <w:jc w:val="right"/>
              <w:rPr>
                <w:szCs w:val="24"/>
                <w:lang w:eastAsia="lt-LT"/>
              </w:rPr>
            </w:pPr>
            <w:r w:rsidRPr="00516098">
              <w:rPr>
                <w:szCs w:val="24"/>
                <w:lang w:eastAsia="lt-LT"/>
              </w:rPr>
              <w:t>97,9</w:t>
            </w:r>
          </w:p>
        </w:tc>
      </w:tr>
      <w:tr w:rsidR="00516098" w:rsidRPr="00516098" w14:paraId="3163CBA3"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38815C2D" w14:textId="77777777" w:rsidR="00516098" w:rsidRPr="00516098" w:rsidRDefault="00516098" w:rsidP="00516098">
            <w:pPr>
              <w:rPr>
                <w:color w:val="000000"/>
                <w:szCs w:val="24"/>
                <w:lang w:eastAsia="lt-LT"/>
              </w:rPr>
            </w:pPr>
            <w:r w:rsidRPr="00516098">
              <w:rPr>
                <w:color w:val="000000"/>
                <w:szCs w:val="24"/>
                <w:lang w:eastAsia="lt-LT"/>
              </w:rPr>
              <w:t>19. Varėnos „Žilvičio“ vaikų lopšelis-darželis</w:t>
            </w:r>
          </w:p>
        </w:tc>
        <w:tc>
          <w:tcPr>
            <w:tcW w:w="1390" w:type="dxa"/>
            <w:tcBorders>
              <w:top w:val="nil"/>
              <w:left w:val="nil"/>
              <w:bottom w:val="single" w:sz="4" w:space="0" w:color="auto"/>
              <w:right w:val="single" w:sz="4" w:space="0" w:color="auto"/>
            </w:tcBorders>
            <w:vAlign w:val="bottom"/>
            <w:hideMark/>
          </w:tcPr>
          <w:p w14:paraId="55B9F68C" w14:textId="77777777" w:rsidR="00516098" w:rsidRPr="00516098" w:rsidRDefault="00516098" w:rsidP="00516098">
            <w:pPr>
              <w:jc w:val="right"/>
              <w:rPr>
                <w:color w:val="000000"/>
                <w:szCs w:val="24"/>
                <w:lang w:eastAsia="lt-LT"/>
              </w:rPr>
            </w:pPr>
            <w:r w:rsidRPr="00516098">
              <w:rPr>
                <w:color w:val="000000"/>
                <w:szCs w:val="24"/>
                <w:lang w:eastAsia="lt-LT"/>
              </w:rPr>
              <w:t>1 383,5</w:t>
            </w:r>
          </w:p>
        </w:tc>
        <w:tc>
          <w:tcPr>
            <w:tcW w:w="1450" w:type="dxa"/>
            <w:tcBorders>
              <w:top w:val="nil"/>
              <w:left w:val="nil"/>
              <w:bottom w:val="single" w:sz="4" w:space="0" w:color="auto"/>
              <w:right w:val="single" w:sz="4" w:space="0" w:color="auto"/>
            </w:tcBorders>
            <w:noWrap/>
            <w:vAlign w:val="bottom"/>
            <w:hideMark/>
          </w:tcPr>
          <w:p w14:paraId="5A344EA5" w14:textId="77777777" w:rsidR="00516098" w:rsidRPr="00516098" w:rsidRDefault="00516098" w:rsidP="00516098">
            <w:pPr>
              <w:jc w:val="right"/>
              <w:rPr>
                <w:color w:val="000000"/>
                <w:szCs w:val="24"/>
                <w:lang w:eastAsia="lt-LT"/>
              </w:rPr>
            </w:pPr>
            <w:r w:rsidRPr="00516098">
              <w:rPr>
                <w:color w:val="000000"/>
                <w:szCs w:val="24"/>
                <w:lang w:eastAsia="lt-LT"/>
              </w:rPr>
              <w:t xml:space="preserve">1 360,6 </w:t>
            </w:r>
          </w:p>
        </w:tc>
        <w:tc>
          <w:tcPr>
            <w:tcW w:w="1271" w:type="dxa"/>
            <w:tcBorders>
              <w:top w:val="nil"/>
              <w:left w:val="nil"/>
              <w:bottom w:val="single" w:sz="4" w:space="0" w:color="auto"/>
              <w:right w:val="single" w:sz="4" w:space="0" w:color="auto"/>
            </w:tcBorders>
            <w:noWrap/>
            <w:vAlign w:val="bottom"/>
            <w:hideMark/>
          </w:tcPr>
          <w:p w14:paraId="23B9FE76" w14:textId="77777777" w:rsidR="00516098" w:rsidRPr="00516098" w:rsidRDefault="00516098" w:rsidP="00516098">
            <w:pPr>
              <w:jc w:val="right"/>
              <w:rPr>
                <w:szCs w:val="24"/>
                <w:lang w:eastAsia="lt-LT"/>
              </w:rPr>
            </w:pPr>
            <w:r w:rsidRPr="00516098">
              <w:rPr>
                <w:szCs w:val="24"/>
                <w:lang w:eastAsia="lt-LT"/>
              </w:rPr>
              <w:t>98,3</w:t>
            </w:r>
          </w:p>
        </w:tc>
      </w:tr>
      <w:tr w:rsidR="00516098" w:rsidRPr="00516098" w14:paraId="3E348768"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5C87ECBA" w14:textId="77777777" w:rsidR="00516098" w:rsidRPr="00516098" w:rsidRDefault="00516098" w:rsidP="00516098">
            <w:pPr>
              <w:rPr>
                <w:color w:val="000000"/>
                <w:szCs w:val="24"/>
                <w:lang w:eastAsia="lt-LT"/>
              </w:rPr>
            </w:pPr>
            <w:r w:rsidRPr="00516098">
              <w:rPr>
                <w:color w:val="000000"/>
                <w:szCs w:val="24"/>
                <w:lang w:eastAsia="lt-LT"/>
              </w:rPr>
              <w:t>20. Varėnos r. Marcinkonių daugiafunkcis centras</w:t>
            </w:r>
          </w:p>
        </w:tc>
        <w:tc>
          <w:tcPr>
            <w:tcW w:w="1390" w:type="dxa"/>
            <w:tcBorders>
              <w:top w:val="nil"/>
              <w:left w:val="nil"/>
              <w:bottom w:val="single" w:sz="4" w:space="0" w:color="auto"/>
              <w:right w:val="single" w:sz="4" w:space="0" w:color="auto"/>
            </w:tcBorders>
            <w:vAlign w:val="bottom"/>
            <w:hideMark/>
          </w:tcPr>
          <w:p w14:paraId="65918478" w14:textId="77777777" w:rsidR="00516098" w:rsidRPr="00516098" w:rsidRDefault="00516098" w:rsidP="00516098">
            <w:pPr>
              <w:jc w:val="right"/>
              <w:rPr>
                <w:color w:val="000000"/>
                <w:szCs w:val="24"/>
                <w:lang w:eastAsia="lt-LT"/>
              </w:rPr>
            </w:pPr>
            <w:r w:rsidRPr="00516098">
              <w:rPr>
                <w:color w:val="000000"/>
                <w:szCs w:val="24"/>
                <w:lang w:eastAsia="lt-LT"/>
              </w:rPr>
              <w:t>311,7</w:t>
            </w:r>
          </w:p>
        </w:tc>
        <w:tc>
          <w:tcPr>
            <w:tcW w:w="1450" w:type="dxa"/>
            <w:tcBorders>
              <w:top w:val="nil"/>
              <w:left w:val="nil"/>
              <w:bottom w:val="single" w:sz="4" w:space="0" w:color="auto"/>
              <w:right w:val="single" w:sz="4" w:space="0" w:color="auto"/>
            </w:tcBorders>
            <w:noWrap/>
            <w:vAlign w:val="bottom"/>
            <w:hideMark/>
          </w:tcPr>
          <w:p w14:paraId="1A93D4D3" w14:textId="77777777" w:rsidR="00516098" w:rsidRPr="00516098" w:rsidRDefault="00516098" w:rsidP="00516098">
            <w:pPr>
              <w:jc w:val="right"/>
              <w:rPr>
                <w:color w:val="000000"/>
                <w:szCs w:val="24"/>
                <w:lang w:eastAsia="lt-LT"/>
              </w:rPr>
            </w:pPr>
            <w:r w:rsidRPr="00516098">
              <w:rPr>
                <w:color w:val="000000"/>
                <w:szCs w:val="24"/>
                <w:lang w:eastAsia="lt-LT"/>
              </w:rPr>
              <w:t xml:space="preserve">263,1 </w:t>
            </w:r>
          </w:p>
        </w:tc>
        <w:tc>
          <w:tcPr>
            <w:tcW w:w="1271" w:type="dxa"/>
            <w:tcBorders>
              <w:top w:val="nil"/>
              <w:left w:val="nil"/>
              <w:bottom w:val="single" w:sz="4" w:space="0" w:color="auto"/>
              <w:right w:val="single" w:sz="4" w:space="0" w:color="auto"/>
            </w:tcBorders>
            <w:noWrap/>
            <w:vAlign w:val="bottom"/>
            <w:hideMark/>
          </w:tcPr>
          <w:p w14:paraId="34586557" w14:textId="77777777" w:rsidR="00516098" w:rsidRPr="00516098" w:rsidRDefault="00516098" w:rsidP="00516098">
            <w:pPr>
              <w:jc w:val="right"/>
              <w:rPr>
                <w:szCs w:val="24"/>
                <w:lang w:eastAsia="lt-LT"/>
              </w:rPr>
            </w:pPr>
            <w:r w:rsidRPr="00516098">
              <w:rPr>
                <w:szCs w:val="24"/>
                <w:lang w:eastAsia="lt-LT"/>
              </w:rPr>
              <w:t>84,4</w:t>
            </w:r>
          </w:p>
        </w:tc>
      </w:tr>
      <w:tr w:rsidR="00516098" w:rsidRPr="00516098" w14:paraId="352EFE03"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003B8198" w14:textId="77777777" w:rsidR="00516098" w:rsidRPr="00516098" w:rsidRDefault="00516098" w:rsidP="00516098">
            <w:pPr>
              <w:rPr>
                <w:color w:val="000000"/>
                <w:szCs w:val="24"/>
                <w:lang w:eastAsia="lt-LT"/>
              </w:rPr>
            </w:pPr>
            <w:r w:rsidRPr="00516098">
              <w:rPr>
                <w:color w:val="000000"/>
                <w:szCs w:val="24"/>
                <w:lang w:eastAsia="lt-LT"/>
              </w:rPr>
              <w:t>21. Varėnos Jadvygos Čiurlionytės menų mokykla</w:t>
            </w:r>
          </w:p>
        </w:tc>
        <w:tc>
          <w:tcPr>
            <w:tcW w:w="1390" w:type="dxa"/>
            <w:tcBorders>
              <w:top w:val="nil"/>
              <w:left w:val="nil"/>
              <w:bottom w:val="single" w:sz="4" w:space="0" w:color="auto"/>
              <w:right w:val="single" w:sz="4" w:space="0" w:color="auto"/>
            </w:tcBorders>
            <w:vAlign w:val="bottom"/>
            <w:hideMark/>
          </w:tcPr>
          <w:p w14:paraId="05E74B69" w14:textId="77777777" w:rsidR="00516098" w:rsidRPr="00516098" w:rsidRDefault="00516098" w:rsidP="00516098">
            <w:pPr>
              <w:jc w:val="right"/>
              <w:rPr>
                <w:color w:val="000000"/>
                <w:szCs w:val="24"/>
                <w:lang w:eastAsia="lt-LT"/>
              </w:rPr>
            </w:pPr>
            <w:r w:rsidRPr="00516098">
              <w:rPr>
                <w:color w:val="000000"/>
                <w:szCs w:val="24"/>
                <w:lang w:eastAsia="lt-LT"/>
              </w:rPr>
              <w:t>908,8</w:t>
            </w:r>
          </w:p>
        </w:tc>
        <w:tc>
          <w:tcPr>
            <w:tcW w:w="1450" w:type="dxa"/>
            <w:tcBorders>
              <w:top w:val="nil"/>
              <w:left w:val="nil"/>
              <w:bottom w:val="single" w:sz="4" w:space="0" w:color="auto"/>
              <w:right w:val="single" w:sz="4" w:space="0" w:color="auto"/>
            </w:tcBorders>
            <w:noWrap/>
            <w:vAlign w:val="bottom"/>
            <w:hideMark/>
          </w:tcPr>
          <w:p w14:paraId="1544AE8D" w14:textId="77777777" w:rsidR="00516098" w:rsidRPr="00516098" w:rsidRDefault="00516098" w:rsidP="00516098">
            <w:pPr>
              <w:jc w:val="right"/>
              <w:rPr>
                <w:color w:val="000000"/>
                <w:szCs w:val="24"/>
                <w:lang w:eastAsia="lt-LT"/>
              </w:rPr>
            </w:pPr>
            <w:r w:rsidRPr="00516098">
              <w:rPr>
                <w:color w:val="000000"/>
                <w:szCs w:val="24"/>
                <w:lang w:eastAsia="lt-LT"/>
              </w:rPr>
              <w:t xml:space="preserve">901,5 </w:t>
            </w:r>
          </w:p>
        </w:tc>
        <w:tc>
          <w:tcPr>
            <w:tcW w:w="1271" w:type="dxa"/>
            <w:tcBorders>
              <w:top w:val="nil"/>
              <w:left w:val="nil"/>
              <w:bottom w:val="single" w:sz="4" w:space="0" w:color="auto"/>
              <w:right w:val="single" w:sz="4" w:space="0" w:color="auto"/>
            </w:tcBorders>
            <w:noWrap/>
            <w:vAlign w:val="bottom"/>
            <w:hideMark/>
          </w:tcPr>
          <w:p w14:paraId="06E909F0" w14:textId="77777777" w:rsidR="00516098" w:rsidRPr="00516098" w:rsidRDefault="00516098" w:rsidP="00516098">
            <w:pPr>
              <w:jc w:val="right"/>
              <w:rPr>
                <w:szCs w:val="24"/>
                <w:lang w:eastAsia="lt-LT"/>
              </w:rPr>
            </w:pPr>
            <w:r w:rsidRPr="00516098">
              <w:rPr>
                <w:szCs w:val="24"/>
                <w:lang w:eastAsia="lt-LT"/>
              </w:rPr>
              <w:t>99,2</w:t>
            </w:r>
          </w:p>
        </w:tc>
      </w:tr>
      <w:tr w:rsidR="00516098" w:rsidRPr="00516098" w14:paraId="00FEEEEC"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66D395A9" w14:textId="77777777" w:rsidR="00516098" w:rsidRPr="00516098" w:rsidRDefault="00516098" w:rsidP="00516098">
            <w:pPr>
              <w:rPr>
                <w:color w:val="000000"/>
                <w:szCs w:val="24"/>
                <w:lang w:eastAsia="lt-LT"/>
              </w:rPr>
            </w:pPr>
            <w:r w:rsidRPr="00516098">
              <w:rPr>
                <w:color w:val="000000"/>
                <w:szCs w:val="24"/>
                <w:lang w:eastAsia="lt-LT"/>
              </w:rPr>
              <w:t>22. Varėnos globos namai</w:t>
            </w:r>
          </w:p>
        </w:tc>
        <w:tc>
          <w:tcPr>
            <w:tcW w:w="1390" w:type="dxa"/>
            <w:tcBorders>
              <w:top w:val="nil"/>
              <w:left w:val="nil"/>
              <w:bottom w:val="single" w:sz="4" w:space="0" w:color="auto"/>
              <w:right w:val="single" w:sz="4" w:space="0" w:color="auto"/>
            </w:tcBorders>
            <w:vAlign w:val="bottom"/>
            <w:hideMark/>
          </w:tcPr>
          <w:p w14:paraId="5E217169" w14:textId="77777777" w:rsidR="00516098" w:rsidRPr="00516098" w:rsidRDefault="00516098" w:rsidP="00516098">
            <w:pPr>
              <w:jc w:val="right"/>
              <w:rPr>
                <w:color w:val="000000"/>
                <w:szCs w:val="24"/>
                <w:lang w:eastAsia="lt-LT"/>
              </w:rPr>
            </w:pPr>
            <w:r w:rsidRPr="00516098">
              <w:rPr>
                <w:color w:val="000000"/>
                <w:szCs w:val="24"/>
                <w:lang w:eastAsia="lt-LT"/>
              </w:rPr>
              <w:t>826,2</w:t>
            </w:r>
          </w:p>
        </w:tc>
        <w:tc>
          <w:tcPr>
            <w:tcW w:w="1450" w:type="dxa"/>
            <w:tcBorders>
              <w:top w:val="nil"/>
              <w:left w:val="nil"/>
              <w:bottom w:val="single" w:sz="4" w:space="0" w:color="auto"/>
              <w:right w:val="single" w:sz="4" w:space="0" w:color="auto"/>
            </w:tcBorders>
            <w:noWrap/>
            <w:vAlign w:val="bottom"/>
            <w:hideMark/>
          </w:tcPr>
          <w:p w14:paraId="4408B8CA" w14:textId="77777777" w:rsidR="00516098" w:rsidRPr="00516098" w:rsidRDefault="00516098" w:rsidP="00516098">
            <w:pPr>
              <w:jc w:val="right"/>
              <w:rPr>
                <w:color w:val="000000"/>
                <w:szCs w:val="24"/>
                <w:lang w:eastAsia="lt-LT"/>
              </w:rPr>
            </w:pPr>
            <w:r w:rsidRPr="00516098">
              <w:rPr>
                <w:color w:val="000000"/>
                <w:szCs w:val="24"/>
                <w:lang w:eastAsia="lt-LT"/>
              </w:rPr>
              <w:t xml:space="preserve">798,2 </w:t>
            </w:r>
          </w:p>
        </w:tc>
        <w:tc>
          <w:tcPr>
            <w:tcW w:w="1271" w:type="dxa"/>
            <w:tcBorders>
              <w:top w:val="nil"/>
              <w:left w:val="nil"/>
              <w:bottom w:val="single" w:sz="4" w:space="0" w:color="auto"/>
              <w:right w:val="single" w:sz="4" w:space="0" w:color="auto"/>
            </w:tcBorders>
            <w:noWrap/>
            <w:vAlign w:val="bottom"/>
            <w:hideMark/>
          </w:tcPr>
          <w:p w14:paraId="1DA5E996" w14:textId="77777777" w:rsidR="00516098" w:rsidRPr="00516098" w:rsidRDefault="00516098" w:rsidP="00516098">
            <w:pPr>
              <w:jc w:val="right"/>
              <w:rPr>
                <w:szCs w:val="24"/>
                <w:lang w:eastAsia="lt-LT"/>
              </w:rPr>
            </w:pPr>
            <w:r w:rsidRPr="00516098">
              <w:rPr>
                <w:szCs w:val="24"/>
                <w:lang w:eastAsia="lt-LT"/>
              </w:rPr>
              <w:t>96,6</w:t>
            </w:r>
          </w:p>
        </w:tc>
      </w:tr>
      <w:tr w:rsidR="00516098" w:rsidRPr="00516098" w14:paraId="2DD829F9"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4F207587" w14:textId="77777777" w:rsidR="00516098" w:rsidRPr="00516098" w:rsidRDefault="00516098" w:rsidP="00516098">
            <w:pPr>
              <w:rPr>
                <w:color w:val="000000"/>
                <w:szCs w:val="24"/>
                <w:lang w:eastAsia="lt-LT"/>
              </w:rPr>
            </w:pPr>
            <w:r w:rsidRPr="00516098">
              <w:rPr>
                <w:color w:val="000000"/>
                <w:szCs w:val="24"/>
                <w:lang w:eastAsia="lt-LT"/>
              </w:rPr>
              <w:t>23. Merkinės globos namai</w:t>
            </w:r>
          </w:p>
        </w:tc>
        <w:tc>
          <w:tcPr>
            <w:tcW w:w="1390" w:type="dxa"/>
            <w:tcBorders>
              <w:top w:val="nil"/>
              <w:left w:val="nil"/>
              <w:bottom w:val="single" w:sz="4" w:space="0" w:color="auto"/>
              <w:right w:val="single" w:sz="4" w:space="0" w:color="auto"/>
            </w:tcBorders>
            <w:vAlign w:val="bottom"/>
            <w:hideMark/>
          </w:tcPr>
          <w:p w14:paraId="2B4992D0" w14:textId="77777777" w:rsidR="00516098" w:rsidRPr="00516098" w:rsidRDefault="00516098" w:rsidP="00516098">
            <w:pPr>
              <w:jc w:val="right"/>
              <w:rPr>
                <w:color w:val="000000"/>
                <w:szCs w:val="24"/>
                <w:lang w:eastAsia="lt-LT"/>
              </w:rPr>
            </w:pPr>
            <w:r w:rsidRPr="00516098">
              <w:rPr>
                <w:color w:val="000000"/>
                <w:szCs w:val="24"/>
                <w:lang w:eastAsia="lt-LT"/>
              </w:rPr>
              <w:t>1 038,1</w:t>
            </w:r>
          </w:p>
        </w:tc>
        <w:tc>
          <w:tcPr>
            <w:tcW w:w="1450" w:type="dxa"/>
            <w:tcBorders>
              <w:top w:val="nil"/>
              <w:left w:val="nil"/>
              <w:bottom w:val="single" w:sz="4" w:space="0" w:color="auto"/>
              <w:right w:val="single" w:sz="4" w:space="0" w:color="auto"/>
            </w:tcBorders>
            <w:noWrap/>
            <w:vAlign w:val="bottom"/>
            <w:hideMark/>
          </w:tcPr>
          <w:p w14:paraId="4092018A" w14:textId="77777777" w:rsidR="00516098" w:rsidRPr="00516098" w:rsidRDefault="00516098" w:rsidP="00516098">
            <w:pPr>
              <w:jc w:val="right"/>
              <w:rPr>
                <w:color w:val="000000"/>
                <w:szCs w:val="24"/>
                <w:lang w:eastAsia="lt-LT"/>
              </w:rPr>
            </w:pPr>
            <w:r w:rsidRPr="00516098">
              <w:rPr>
                <w:color w:val="000000"/>
                <w:szCs w:val="24"/>
                <w:lang w:eastAsia="lt-LT"/>
              </w:rPr>
              <w:t xml:space="preserve">1 012,5 </w:t>
            </w:r>
          </w:p>
        </w:tc>
        <w:tc>
          <w:tcPr>
            <w:tcW w:w="1271" w:type="dxa"/>
            <w:tcBorders>
              <w:top w:val="nil"/>
              <w:left w:val="nil"/>
              <w:bottom w:val="single" w:sz="4" w:space="0" w:color="auto"/>
              <w:right w:val="single" w:sz="4" w:space="0" w:color="auto"/>
            </w:tcBorders>
            <w:noWrap/>
            <w:vAlign w:val="bottom"/>
            <w:hideMark/>
          </w:tcPr>
          <w:p w14:paraId="3C51EC04" w14:textId="77777777" w:rsidR="00516098" w:rsidRPr="00516098" w:rsidRDefault="00516098" w:rsidP="00516098">
            <w:pPr>
              <w:jc w:val="right"/>
              <w:rPr>
                <w:szCs w:val="24"/>
                <w:lang w:eastAsia="lt-LT"/>
              </w:rPr>
            </w:pPr>
            <w:r w:rsidRPr="00516098">
              <w:rPr>
                <w:szCs w:val="24"/>
                <w:lang w:eastAsia="lt-LT"/>
              </w:rPr>
              <w:t>97,5</w:t>
            </w:r>
          </w:p>
        </w:tc>
      </w:tr>
      <w:tr w:rsidR="00516098" w:rsidRPr="00516098" w14:paraId="2CD84315" w14:textId="77777777" w:rsidTr="00516098">
        <w:trPr>
          <w:trHeight w:val="70"/>
          <w:jc w:val="center"/>
        </w:trPr>
        <w:tc>
          <w:tcPr>
            <w:tcW w:w="5382" w:type="dxa"/>
            <w:tcBorders>
              <w:top w:val="nil"/>
              <w:left w:val="single" w:sz="4" w:space="0" w:color="auto"/>
              <w:bottom w:val="single" w:sz="4" w:space="0" w:color="auto"/>
              <w:right w:val="single" w:sz="4" w:space="0" w:color="auto"/>
            </w:tcBorders>
            <w:vAlign w:val="center"/>
            <w:hideMark/>
          </w:tcPr>
          <w:p w14:paraId="58CF0B19" w14:textId="77777777" w:rsidR="00516098" w:rsidRPr="00516098" w:rsidRDefault="00516098" w:rsidP="00516098">
            <w:pPr>
              <w:rPr>
                <w:color w:val="000000"/>
                <w:szCs w:val="24"/>
                <w:lang w:eastAsia="lt-LT"/>
              </w:rPr>
            </w:pPr>
            <w:r w:rsidRPr="00516098">
              <w:rPr>
                <w:color w:val="000000"/>
                <w:szCs w:val="24"/>
                <w:lang w:eastAsia="lt-LT"/>
              </w:rPr>
              <w:t>24. Varėnos socialinių paslaugų centras</w:t>
            </w:r>
          </w:p>
        </w:tc>
        <w:tc>
          <w:tcPr>
            <w:tcW w:w="1390" w:type="dxa"/>
            <w:tcBorders>
              <w:top w:val="nil"/>
              <w:left w:val="nil"/>
              <w:bottom w:val="single" w:sz="4" w:space="0" w:color="auto"/>
              <w:right w:val="single" w:sz="4" w:space="0" w:color="auto"/>
            </w:tcBorders>
            <w:vAlign w:val="bottom"/>
            <w:hideMark/>
          </w:tcPr>
          <w:p w14:paraId="19E9AF87" w14:textId="77777777" w:rsidR="00516098" w:rsidRPr="00516098" w:rsidRDefault="00516098" w:rsidP="00516098">
            <w:pPr>
              <w:jc w:val="right"/>
              <w:rPr>
                <w:color w:val="000000"/>
                <w:szCs w:val="24"/>
                <w:lang w:eastAsia="lt-LT"/>
              </w:rPr>
            </w:pPr>
            <w:r w:rsidRPr="00516098">
              <w:rPr>
                <w:color w:val="000000"/>
                <w:szCs w:val="24"/>
                <w:lang w:eastAsia="lt-LT"/>
              </w:rPr>
              <w:t>2 518,5</w:t>
            </w:r>
          </w:p>
        </w:tc>
        <w:tc>
          <w:tcPr>
            <w:tcW w:w="1450" w:type="dxa"/>
            <w:tcBorders>
              <w:top w:val="nil"/>
              <w:left w:val="nil"/>
              <w:bottom w:val="single" w:sz="4" w:space="0" w:color="auto"/>
              <w:right w:val="single" w:sz="4" w:space="0" w:color="auto"/>
            </w:tcBorders>
            <w:noWrap/>
            <w:vAlign w:val="bottom"/>
            <w:hideMark/>
          </w:tcPr>
          <w:p w14:paraId="34FF81AB" w14:textId="77777777" w:rsidR="00516098" w:rsidRPr="00516098" w:rsidRDefault="00516098" w:rsidP="00516098">
            <w:pPr>
              <w:jc w:val="right"/>
              <w:rPr>
                <w:color w:val="000000"/>
                <w:szCs w:val="24"/>
                <w:lang w:eastAsia="lt-LT"/>
              </w:rPr>
            </w:pPr>
            <w:r w:rsidRPr="00516098">
              <w:rPr>
                <w:color w:val="000000"/>
                <w:szCs w:val="24"/>
                <w:lang w:eastAsia="lt-LT"/>
              </w:rPr>
              <w:t xml:space="preserve">2 465,3 </w:t>
            </w:r>
          </w:p>
        </w:tc>
        <w:tc>
          <w:tcPr>
            <w:tcW w:w="1271" w:type="dxa"/>
            <w:tcBorders>
              <w:top w:val="nil"/>
              <w:left w:val="nil"/>
              <w:bottom w:val="single" w:sz="4" w:space="0" w:color="auto"/>
              <w:right w:val="single" w:sz="4" w:space="0" w:color="auto"/>
            </w:tcBorders>
            <w:noWrap/>
            <w:vAlign w:val="bottom"/>
            <w:hideMark/>
          </w:tcPr>
          <w:p w14:paraId="491E5CBB" w14:textId="77777777" w:rsidR="00516098" w:rsidRPr="00516098" w:rsidRDefault="00516098" w:rsidP="00516098">
            <w:pPr>
              <w:jc w:val="right"/>
              <w:rPr>
                <w:szCs w:val="24"/>
                <w:lang w:eastAsia="lt-LT"/>
              </w:rPr>
            </w:pPr>
            <w:r w:rsidRPr="00516098">
              <w:rPr>
                <w:szCs w:val="24"/>
                <w:lang w:eastAsia="lt-LT"/>
              </w:rPr>
              <w:t>97,9</w:t>
            </w:r>
          </w:p>
        </w:tc>
      </w:tr>
      <w:tr w:rsidR="00516098" w:rsidRPr="00516098" w14:paraId="1FC39C0E" w14:textId="77777777" w:rsidTr="00516098">
        <w:trPr>
          <w:trHeight w:val="315"/>
          <w:jc w:val="center"/>
        </w:trPr>
        <w:tc>
          <w:tcPr>
            <w:tcW w:w="5382" w:type="dxa"/>
            <w:tcBorders>
              <w:top w:val="nil"/>
              <w:left w:val="single" w:sz="4" w:space="0" w:color="auto"/>
              <w:bottom w:val="single" w:sz="4" w:space="0" w:color="auto"/>
              <w:right w:val="single" w:sz="4" w:space="0" w:color="auto"/>
            </w:tcBorders>
            <w:vAlign w:val="center"/>
            <w:hideMark/>
          </w:tcPr>
          <w:p w14:paraId="7F924B9A" w14:textId="77777777" w:rsidR="00516098" w:rsidRPr="00516098" w:rsidRDefault="00516098" w:rsidP="00516098">
            <w:pPr>
              <w:rPr>
                <w:color w:val="000000"/>
                <w:szCs w:val="24"/>
                <w:lang w:eastAsia="lt-LT"/>
              </w:rPr>
            </w:pPr>
            <w:r w:rsidRPr="00516098">
              <w:rPr>
                <w:color w:val="000000"/>
                <w:szCs w:val="24"/>
                <w:lang w:eastAsia="lt-LT"/>
              </w:rPr>
              <w:t>25. Varėnos rajono savivaldybės šeiminiai namai</w:t>
            </w:r>
          </w:p>
        </w:tc>
        <w:tc>
          <w:tcPr>
            <w:tcW w:w="1390" w:type="dxa"/>
            <w:tcBorders>
              <w:top w:val="nil"/>
              <w:left w:val="nil"/>
              <w:bottom w:val="single" w:sz="4" w:space="0" w:color="auto"/>
              <w:right w:val="single" w:sz="4" w:space="0" w:color="auto"/>
            </w:tcBorders>
            <w:vAlign w:val="bottom"/>
            <w:hideMark/>
          </w:tcPr>
          <w:p w14:paraId="2A6B3E05" w14:textId="77777777" w:rsidR="00516098" w:rsidRPr="00516098" w:rsidRDefault="00516098" w:rsidP="00516098">
            <w:pPr>
              <w:jc w:val="right"/>
              <w:rPr>
                <w:color w:val="000000"/>
                <w:szCs w:val="24"/>
                <w:lang w:eastAsia="lt-LT"/>
              </w:rPr>
            </w:pPr>
            <w:r w:rsidRPr="00516098">
              <w:rPr>
                <w:color w:val="000000"/>
                <w:szCs w:val="24"/>
                <w:lang w:eastAsia="lt-LT"/>
              </w:rPr>
              <w:t>730,6</w:t>
            </w:r>
          </w:p>
        </w:tc>
        <w:tc>
          <w:tcPr>
            <w:tcW w:w="1450" w:type="dxa"/>
            <w:tcBorders>
              <w:top w:val="nil"/>
              <w:left w:val="nil"/>
              <w:bottom w:val="single" w:sz="4" w:space="0" w:color="auto"/>
              <w:right w:val="single" w:sz="4" w:space="0" w:color="auto"/>
            </w:tcBorders>
            <w:noWrap/>
            <w:vAlign w:val="bottom"/>
            <w:hideMark/>
          </w:tcPr>
          <w:p w14:paraId="6F370F05" w14:textId="77777777" w:rsidR="00516098" w:rsidRPr="00516098" w:rsidRDefault="00516098" w:rsidP="00516098">
            <w:pPr>
              <w:jc w:val="right"/>
              <w:rPr>
                <w:color w:val="000000"/>
                <w:szCs w:val="24"/>
                <w:lang w:eastAsia="lt-LT"/>
              </w:rPr>
            </w:pPr>
            <w:r w:rsidRPr="00516098">
              <w:rPr>
                <w:color w:val="000000"/>
                <w:szCs w:val="24"/>
                <w:lang w:eastAsia="lt-LT"/>
              </w:rPr>
              <w:t xml:space="preserve">653,7 </w:t>
            </w:r>
          </w:p>
        </w:tc>
        <w:tc>
          <w:tcPr>
            <w:tcW w:w="1271" w:type="dxa"/>
            <w:tcBorders>
              <w:top w:val="nil"/>
              <w:left w:val="nil"/>
              <w:bottom w:val="single" w:sz="4" w:space="0" w:color="auto"/>
              <w:right w:val="single" w:sz="4" w:space="0" w:color="auto"/>
            </w:tcBorders>
            <w:noWrap/>
            <w:vAlign w:val="bottom"/>
            <w:hideMark/>
          </w:tcPr>
          <w:p w14:paraId="2E481E6A" w14:textId="77777777" w:rsidR="00516098" w:rsidRPr="00516098" w:rsidRDefault="00516098" w:rsidP="00516098">
            <w:pPr>
              <w:jc w:val="right"/>
              <w:rPr>
                <w:szCs w:val="24"/>
                <w:lang w:eastAsia="lt-LT"/>
              </w:rPr>
            </w:pPr>
            <w:r w:rsidRPr="00516098">
              <w:rPr>
                <w:szCs w:val="24"/>
                <w:lang w:eastAsia="lt-LT"/>
              </w:rPr>
              <w:t>89,5</w:t>
            </w:r>
          </w:p>
        </w:tc>
      </w:tr>
      <w:tr w:rsidR="00516098" w:rsidRPr="00516098" w14:paraId="20A2A943" w14:textId="77777777" w:rsidTr="007C6856">
        <w:trPr>
          <w:trHeight w:val="70"/>
          <w:jc w:val="center"/>
        </w:trPr>
        <w:tc>
          <w:tcPr>
            <w:tcW w:w="5382"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2E468CDE" w14:textId="77777777" w:rsidR="00516098" w:rsidRPr="00516098" w:rsidRDefault="00516098" w:rsidP="00516098">
            <w:pPr>
              <w:jc w:val="right"/>
              <w:rPr>
                <w:b/>
                <w:bCs/>
                <w:color w:val="000000"/>
                <w:szCs w:val="24"/>
                <w:lang w:eastAsia="lt-LT"/>
              </w:rPr>
            </w:pPr>
            <w:r w:rsidRPr="00516098">
              <w:rPr>
                <w:b/>
                <w:bCs/>
                <w:color w:val="000000"/>
                <w:szCs w:val="24"/>
                <w:lang w:eastAsia="lt-LT"/>
              </w:rPr>
              <w:t>IŠ VISO:</w:t>
            </w:r>
          </w:p>
        </w:tc>
        <w:tc>
          <w:tcPr>
            <w:tcW w:w="1390" w:type="dxa"/>
            <w:tcBorders>
              <w:top w:val="nil"/>
              <w:left w:val="nil"/>
              <w:bottom w:val="single" w:sz="4" w:space="0" w:color="auto"/>
              <w:right w:val="single" w:sz="4" w:space="0" w:color="auto"/>
            </w:tcBorders>
            <w:shd w:val="clear" w:color="auto" w:fill="C6D9F1" w:themeFill="text2" w:themeFillTint="33"/>
            <w:vAlign w:val="bottom"/>
            <w:hideMark/>
          </w:tcPr>
          <w:p w14:paraId="6396FAEF" w14:textId="77777777" w:rsidR="00516098" w:rsidRPr="00516098" w:rsidRDefault="00516098" w:rsidP="00516098">
            <w:pPr>
              <w:jc w:val="right"/>
              <w:rPr>
                <w:b/>
                <w:bCs/>
                <w:color w:val="000000"/>
                <w:szCs w:val="24"/>
                <w:lang w:eastAsia="lt-LT"/>
              </w:rPr>
            </w:pPr>
            <w:r w:rsidRPr="00516098">
              <w:rPr>
                <w:b/>
                <w:bCs/>
                <w:color w:val="000000"/>
                <w:szCs w:val="24"/>
                <w:lang w:eastAsia="lt-LT"/>
              </w:rPr>
              <w:t>56 941,1</w:t>
            </w:r>
          </w:p>
        </w:tc>
        <w:tc>
          <w:tcPr>
            <w:tcW w:w="1450" w:type="dxa"/>
            <w:tcBorders>
              <w:top w:val="nil"/>
              <w:left w:val="nil"/>
              <w:bottom w:val="single" w:sz="4" w:space="0" w:color="auto"/>
              <w:right w:val="single" w:sz="4" w:space="0" w:color="auto"/>
            </w:tcBorders>
            <w:shd w:val="clear" w:color="auto" w:fill="C6D9F1" w:themeFill="text2" w:themeFillTint="33"/>
            <w:noWrap/>
            <w:vAlign w:val="bottom"/>
            <w:hideMark/>
          </w:tcPr>
          <w:p w14:paraId="32259E4F" w14:textId="77777777" w:rsidR="00516098" w:rsidRPr="00516098" w:rsidRDefault="00516098" w:rsidP="00516098">
            <w:pPr>
              <w:jc w:val="right"/>
              <w:rPr>
                <w:b/>
                <w:bCs/>
                <w:color w:val="000000"/>
                <w:szCs w:val="24"/>
                <w:lang w:eastAsia="lt-LT"/>
              </w:rPr>
            </w:pPr>
            <w:r w:rsidRPr="00516098">
              <w:rPr>
                <w:b/>
                <w:bCs/>
                <w:color w:val="000000"/>
                <w:szCs w:val="24"/>
                <w:lang w:eastAsia="lt-LT"/>
              </w:rPr>
              <w:t xml:space="preserve">53 517,3 </w:t>
            </w:r>
          </w:p>
        </w:tc>
        <w:tc>
          <w:tcPr>
            <w:tcW w:w="1271" w:type="dxa"/>
            <w:tcBorders>
              <w:top w:val="nil"/>
              <w:left w:val="nil"/>
              <w:bottom w:val="single" w:sz="4" w:space="0" w:color="auto"/>
              <w:right w:val="single" w:sz="4" w:space="0" w:color="auto"/>
            </w:tcBorders>
            <w:shd w:val="clear" w:color="auto" w:fill="C6D9F1" w:themeFill="text2" w:themeFillTint="33"/>
            <w:noWrap/>
            <w:vAlign w:val="bottom"/>
            <w:hideMark/>
          </w:tcPr>
          <w:p w14:paraId="6836FD5C" w14:textId="77777777" w:rsidR="00516098" w:rsidRPr="00516098" w:rsidRDefault="00516098" w:rsidP="00516098">
            <w:pPr>
              <w:jc w:val="right"/>
              <w:rPr>
                <w:b/>
                <w:bCs/>
                <w:szCs w:val="24"/>
                <w:lang w:eastAsia="lt-LT"/>
              </w:rPr>
            </w:pPr>
            <w:r w:rsidRPr="00516098">
              <w:rPr>
                <w:b/>
                <w:bCs/>
                <w:szCs w:val="24"/>
                <w:lang w:eastAsia="lt-LT"/>
              </w:rPr>
              <w:t>94,0</w:t>
            </w:r>
          </w:p>
        </w:tc>
      </w:tr>
      <w:tr w:rsidR="00516098" w:rsidRPr="00516098" w14:paraId="3DFA27D3" w14:textId="77777777" w:rsidTr="007C6856">
        <w:trPr>
          <w:trHeight w:val="364"/>
          <w:jc w:val="center"/>
        </w:trPr>
        <w:tc>
          <w:tcPr>
            <w:tcW w:w="5382" w:type="dxa"/>
            <w:tcBorders>
              <w:top w:val="nil"/>
              <w:left w:val="single" w:sz="4" w:space="0" w:color="auto"/>
              <w:bottom w:val="single" w:sz="4" w:space="0" w:color="auto"/>
              <w:right w:val="single" w:sz="4" w:space="0" w:color="auto"/>
            </w:tcBorders>
            <w:vAlign w:val="center"/>
            <w:hideMark/>
          </w:tcPr>
          <w:p w14:paraId="1B4425F7" w14:textId="77777777" w:rsidR="00516098" w:rsidRPr="00516098" w:rsidRDefault="00516098" w:rsidP="00516098">
            <w:pPr>
              <w:jc w:val="right"/>
              <w:rPr>
                <w:i/>
                <w:iCs/>
                <w:color w:val="000000"/>
                <w:szCs w:val="24"/>
                <w:lang w:eastAsia="lt-LT"/>
              </w:rPr>
            </w:pPr>
            <w:r w:rsidRPr="00516098">
              <w:rPr>
                <w:i/>
                <w:iCs/>
                <w:color w:val="000000"/>
                <w:szCs w:val="24"/>
                <w:lang w:eastAsia="lt-LT"/>
              </w:rPr>
              <w:t>iš jų finansinių įsipareigojimų vykdymas (paskolų grąžinimas)</w:t>
            </w:r>
          </w:p>
        </w:tc>
        <w:tc>
          <w:tcPr>
            <w:tcW w:w="1390" w:type="dxa"/>
            <w:tcBorders>
              <w:top w:val="nil"/>
              <w:left w:val="nil"/>
              <w:bottom w:val="single" w:sz="4" w:space="0" w:color="auto"/>
              <w:right w:val="single" w:sz="4" w:space="0" w:color="auto"/>
            </w:tcBorders>
            <w:vAlign w:val="bottom"/>
            <w:hideMark/>
          </w:tcPr>
          <w:p w14:paraId="2071382B" w14:textId="77777777" w:rsidR="00516098" w:rsidRPr="00516098" w:rsidRDefault="00516098" w:rsidP="00516098">
            <w:pPr>
              <w:jc w:val="right"/>
              <w:rPr>
                <w:i/>
                <w:iCs/>
                <w:color w:val="000000"/>
                <w:szCs w:val="24"/>
                <w:lang w:eastAsia="lt-LT"/>
              </w:rPr>
            </w:pPr>
            <w:r w:rsidRPr="00516098">
              <w:rPr>
                <w:i/>
                <w:iCs/>
                <w:color w:val="000000"/>
                <w:szCs w:val="24"/>
                <w:lang w:eastAsia="lt-LT"/>
              </w:rPr>
              <w:t>912,1</w:t>
            </w:r>
          </w:p>
        </w:tc>
        <w:tc>
          <w:tcPr>
            <w:tcW w:w="1450" w:type="dxa"/>
            <w:tcBorders>
              <w:top w:val="nil"/>
              <w:left w:val="nil"/>
              <w:bottom w:val="single" w:sz="4" w:space="0" w:color="auto"/>
              <w:right w:val="single" w:sz="4" w:space="0" w:color="auto"/>
            </w:tcBorders>
            <w:noWrap/>
            <w:vAlign w:val="bottom"/>
            <w:hideMark/>
          </w:tcPr>
          <w:p w14:paraId="32848F61" w14:textId="77777777" w:rsidR="00516098" w:rsidRPr="00516098" w:rsidRDefault="00516098" w:rsidP="00516098">
            <w:pPr>
              <w:jc w:val="right"/>
              <w:rPr>
                <w:i/>
                <w:iCs/>
                <w:color w:val="000000"/>
                <w:szCs w:val="24"/>
                <w:lang w:eastAsia="lt-LT"/>
              </w:rPr>
            </w:pPr>
            <w:r w:rsidRPr="00516098">
              <w:rPr>
                <w:i/>
                <w:iCs/>
                <w:color w:val="000000"/>
                <w:szCs w:val="24"/>
                <w:lang w:eastAsia="lt-LT"/>
              </w:rPr>
              <w:t xml:space="preserve">912,0 </w:t>
            </w:r>
          </w:p>
        </w:tc>
        <w:tc>
          <w:tcPr>
            <w:tcW w:w="1271" w:type="dxa"/>
            <w:tcBorders>
              <w:top w:val="nil"/>
              <w:left w:val="nil"/>
              <w:bottom w:val="single" w:sz="4" w:space="0" w:color="auto"/>
              <w:right w:val="single" w:sz="4" w:space="0" w:color="auto"/>
            </w:tcBorders>
            <w:noWrap/>
            <w:vAlign w:val="bottom"/>
            <w:hideMark/>
          </w:tcPr>
          <w:p w14:paraId="227D5A33" w14:textId="77777777" w:rsidR="00516098" w:rsidRPr="00516098" w:rsidRDefault="00516098" w:rsidP="00516098">
            <w:pPr>
              <w:jc w:val="right"/>
              <w:rPr>
                <w:i/>
                <w:iCs/>
                <w:szCs w:val="24"/>
                <w:lang w:eastAsia="lt-LT"/>
              </w:rPr>
            </w:pPr>
            <w:r w:rsidRPr="00516098">
              <w:rPr>
                <w:i/>
                <w:iCs/>
                <w:szCs w:val="24"/>
                <w:lang w:eastAsia="lt-LT"/>
              </w:rPr>
              <w:t>100,0</w:t>
            </w:r>
          </w:p>
        </w:tc>
      </w:tr>
      <w:tr w:rsidR="00516098" w:rsidRPr="00516098" w14:paraId="79D9F8B1" w14:textId="77777777" w:rsidTr="00516098">
        <w:trPr>
          <w:trHeight w:val="315"/>
          <w:jc w:val="center"/>
        </w:trPr>
        <w:tc>
          <w:tcPr>
            <w:tcW w:w="5382" w:type="dxa"/>
            <w:tcBorders>
              <w:top w:val="nil"/>
              <w:left w:val="single" w:sz="4" w:space="0" w:color="auto"/>
              <w:bottom w:val="single" w:sz="4" w:space="0" w:color="auto"/>
              <w:right w:val="single" w:sz="4" w:space="0" w:color="auto"/>
            </w:tcBorders>
            <w:vAlign w:val="center"/>
            <w:hideMark/>
          </w:tcPr>
          <w:p w14:paraId="40D6A690" w14:textId="77777777" w:rsidR="00516098" w:rsidRPr="00516098" w:rsidRDefault="00516098" w:rsidP="00516098">
            <w:pPr>
              <w:jc w:val="right"/>
              <w:rPr>
                <w:i/>
                <w:iCs/>
                <w:color w:val="000000"/>
                <w:szCs w:val="24"/>
                <w:lang w:eastAsia="lt-LT"/>
              </w:rPr>
            </w:pPr>
            <w:r w:rsidRPr="00516098">
              <w:rPr>
                <w:i/>
                <w:iCs/>
                <w:color w:val="000000"/>
                <w:szCs w:val="24"/>
                <w:lang w:eastAsia="lt-LT"/>
              </w:rPr>
              <w:t>iš jų Savivaldybės mero rezervas</w:t>
            </w:r>
          </w:p>
        </w:tc>
        <w:tc>
          <w:tcPr>
            <w:tcW w:w="1390" w:type="dxa"/>
            <w:tcBorders>
              <w:top w:val="nil"/>
              <w:left w:val="nil"/>
              <w:bottom w:val="single" w:sz="4" w:space="0" w:color="auto"/>
              <w:right w:val="single" w:sz="4" w:space="0" w:color="auto"/>
            </w:tcBorders>
            <w:vAlign w:val="bottom"/>
            <w:hideMark/>
          </w:tcPr>
          <w:p w14:paraId="05C0C526" w14:textId="77777777" w:rsidR="00516098" w:rsidRPr="00516098" w:rsidRDefault="00516098" w:rsidP="00516098">
            <w:pPr>
              <w:jc w:val="right"/>
              <w:rPr>
                <w:i/>
                <w:iCs/>
                <w:color w:val="000000"/>
                <w:szCs w:val="24"/>
                <w:lang w:eastAsia="lt-LT"/>
              </w:rPr>
            </w:pPr>
            <w:r w:rsidRPr="00516098">
              <w:rPr>
                <w:i/>
                <w:iCs/>
                <w:color w:val="000000"/>
                <w:szCs w:val="24"/>
                <w:lang w:eastAsia="lt-LT"/>
              </w:rPr>
              <w:t>81,3</w:t>
            </w:r>
          </w:p>
        </w:tc>
        <w:tc>
          <w:tcPr>
            <w:tcW w:w="1450" w:type="dxa"/>
            <w:tcBorders>
              <w:top w:val="nil"/>
              <w:left w:val="nil"/>
              <w:bottom w:val="single" w:sz="4" w:space="0" w:color="auto"/>
              <w:right w:val="single" w:sz="4" w:space="0" w:color="auto"/>
            </w:tcBorders>
            <w:noWrap/>
            <w:vAlign w:val="bottom"/>
            <w:hideMark/>
          </w:tcPr>
          <w:p w14:paraId="4F57E652" w14:textId="77777777" w:rsidR="00516098" w:rsidRPr="00516098" w:rsidRDefault="00516098" w:rsidP="00516098">
            <w:pPr>
              <w:jc w:val="right"/>
              <w:rPr>
                <w:i/>
                <w:iCs/>
                <w:color w:val="000000"/>
                <w:szCs w:val="24"/>
                <w:lang w:eastAsia="lt-LT"/>
              </w:rPr>
            </w:pPr>
            <w:r w:rsidRPr="00516098">
              <w:rPr>
                <w:i/>
                <w:iCs/>
                <w:color w:val="000000"/>
                <w:szCs w:val="24"/>
                <w:lang w:eastAsia="lt-LT"/>
              </w:rPr>
              <w:t xml:space="preserve">10,0 </w:t>
            </w:r>
          </w:p>
        </w:tc>
        <w:tc>
          <w:tcPr>
            <w:tcW w:w="1271" w:type="dxa"/>
            <w:tcBorders>
              <w:top w:val="nil"/>
              <w:left w:val="nil"/>
              <w:bottom w:val="single" w:sz="4" w:space="0" w:color="auto"/>
              <w:right w:val="single" w:sz="4" w:space="0" w:color="auto"/>
            </w:tcBorders>
            <w:noWrap/>
            <w:vAlign w:val="bottom"/>
            <w:hideMark/>
          </w:tcPr>
          <w:p w14:paraId="7A2BB55F" w14:textId="77777777" w:rsidR="00516098" w:rsidRPr="00516098" w:rsidRDefault="00516098" w:rsidP="00516098">
            <w:pPr>
              <w:jc w:val="right"/>
              <w:rPr>
                <w:i/>
                <w:iCs/>
                <w:szCs w:val="24"/>
                <w:lang w:eastAsia="lt-LT"/>
              </w:rPr>
            </w:pPr>
            <w:r w:rsidRPr="00516098">
              <w:rPr>
                <w:i/>
                <w:iCs/>
                <w:szCs w:val="24"/>
                <w:lang w:eastAsia="lt-LT"/>
              </w:rPr>
              <w:t>12,3</w:t>
            </w:r>
          </w:p>
        </w:tc>
      </w:tr>
      <w:tr w:rsidR="00516098" w:rsidRPr="00516098" w14:paraId="3C6EC8A3" w14:textId="77777777" w:rsidTr="00516098">
        <w:trPr>
          <w:trHeight w:val="315"/>
          <w:jc w:val="center"/>
        </w:trPr>
        <w:tc>
          <w:tcPr>
            <w:tcW w:w="5382" w:type="dxa"/>
            <w:tcBorders>
              <w:top w:val="nil"/>
              <w:left w:val="single" w:sz="4" w:space="0" w:color="auto"/>
              <w:bottom w:val="single" w:sz="4" w:space="0" w:color="auto"/>
              <w:right w:val="single" w:sz="4" w:space="0" w:color="auto"/>
            </w:tcBorders>
            <w:vAlign w:val="center"/>
            <w:hideMark/>
          </w:tcPr>
          <w:p w14:paraId="3A268FD1" w14:textId="77777777" w:rsidR="00516098" w:rsidRPr="00516098" w:rsidRDefault="00516098" w:rsidP="00516098">
            <w:pPr>
              <w:jc w:val="right"/>
              <w:rPr>
                <w:b/>
                <w:bCs/>
                <w:color w:val="000000"/>
                <w:szCs w:val="24"/>
                <w:lang w:eastAsia="lt-LT"/>
              </w:rPr>
            </w:pPr>
            <w:r w:rsidRPr="00516098">
              <w:rPr>
                <w:b/>
                <w:bCs/>
                <w:color w:val="000000"/>
                <w:szCs w:val="24"/>
                <w:lang w:eastAsia="lt-LT"/>
              </w:rPr>
              <w:t>ASIGNAVIMAI IŠ VISO (be finansinių įsipareigojimų vykdymo):</w:t>
            </w:r>
          </w:p>
        </w:tc>
        <w:tc>
          <w:tcPr>
            <w:tcW w:w="1390" w:type="dxa"/>
            <w:tcBorders>
              <w:top w:val="nil"/>
              <w:left w:val="nil"/>
              <w:bottom w:val="single" w:sz="4" w:space="0" w:color="auto"/>
              <w:right w:val="single" w:sz="4" w:space="0" w:color="auto"/>
            </w:tcBorders>
            <w:vAlign w:val="bottom"/>
            <w:hideMark/>
          </w:tcPr>
          <w:p w14:paraId="746825F4" w14:textId="77777777" w:rsidR="00516098" w:rsidRPr="00516098" w:rsidRDefault="00516098" w:rsidP="00516098">
            <w:pPr>
              <w:jc w:val="right"/>
              <w:rPr>
                <w:b/>
                <w:bCs/>
                <w:color w:val="000000"/>
                <w:szCs w:val="24"/>
                <w:lang w:eastAsia="lt-LT"/>
              </w:rPr>
            </w:pPr>
            <w:r w:rsidRPr="00516098">
              <w:rPr>
                <w:b/>
                <w:bCs/>
                <w:color w:val="000000"/>
                <w:szCs w:val="24"/>
                <w:lang w:eastAsia="lt-LT"/>
              </w:rPr>
              <w:t>56 029,0</w:t>
            </w:r>
          </w:p>
        </w:tc>
        <w:tc>
          <w:tcPr>
            <w:tcW w:w="1450" w:type="dxa"/>
            <w:tcBorders>
              <w:top w:val="nil"/>
              <w:left w:val="nil"/>
              <w:bottom w:val="single" w:sz="4" w:space="0" w:color="auto"/>
              <w:right w:val="single" w:sz="4" w:space="0" w:color="auto"/>
            </w:tcBorders>
            <w:noWrap/>
            <w:vAlign w:val="bottom"/>
            <w:hideMark/>
          </w:tcPr>
          <w:p w14:paraId="5A850A75" w14:textId="77777777" w:rsidR="00516098" w:rsidRPr="00516098" w:rsidRDefault="00516098" w:rsidP="00516098">
            <w:pPr>
              <w:jc w:val="right"/>
              <w:rPr>
                <w:b/>
                <w:bCs/>
                <w:color w:val="000000"/>
                <w:szCs w:val="24"/>
                <w:lang w:eastAsia="lt-LT"/>
              </w:rPr>
            </w:pPr>
            <w:r w:rsidRPr="00516098">
              <w:rPr>
                <w:b/>
                <w:bCs/>
                <w:color w:val="000000"/>
                <w:szCs w:val="24"/>
                <w:lang w:eastAsia="lt-LT"/>
              </w:rPr>
              <w:t xml:space="preserve">52 605,3 </w:t>
            </w:r>
          </w:p>
        </w:tc>
        <w:tc>
          <w:tcPr>
            <w:tcW w:w="1271" w:type="dxa"/>
            <w:tcBorders>
              <w:top w:val="nil"/>
              <w:left w:val="nil"/>
              <w:bottom w:val="single" w:sz="4" w:space="0" w:color="auto"/>
              <w:right w:val="single" w:sz="4" w:space="0" w:color="auto"/>
            </w:tcBorders>
            <w:noWrap/>
            <w:vAlign w:val="bottom"/>
            <w:hideMark/>
          </w:tcPr>
          <w:p w14:paraId="3CEF1E6B" w14:textId="77777777" w:rsidR="00516098" w:rsidRPr="00516098" w:rsidRDefault="00516098" w:rsidP="00516098">
            <w:pPr>
              <w:jc w:val="right"/>
              <w:rPr>
                <w:b/>
                <w:bCs/>
                <w:szCs w:val="24"/>
                <w:lang w:eastAsia="lt-LT"/>
              </w:rPr>
            </w:pPr>
            <w:r w:rsidRPr="00516098">
              <w:rPr>
                <w:b/>
                <w:bCs/>
                <w:szCs w:val="24"/>
                <w:lang w:eastAsia="lt-LT"/>
              </w:rPr>
              <w:t>93,9</w:t>
            </w:r>
          </w:p>
        </w:tc>
      </w:tr>
    </w:tbl>
    <w:p w14:paraId="0B38ACCC" w14:textId="77777777" w:rsidR="003D4DC5" w:rsidRDefault="003D4DC5" w:rsidP="003D4DC5">
      <w:pPr>
        <w:tabs>
          <w:tab w:val="left" w:pos="540"/>
        </w:tabs>
        <w:jc w:val="center"/>
        <w:rPr>
          <w:iCs/>
          <w:sz w:val="22"/>
          <w:szCs w:val="22"/>
        </w:rPr>
      </w:pPr>
    </w:p>
    <w:p w14:paraId="7D7C16D2" w14:textId="253A3A4D" w:rsidR="001250C0" w:rsidRPr="00580643" w:rsidRDefault="003D4DC5" w:rsidP="001250C0">
      <w:pPr>
        <w:spacing w:line="360" w:lineRule="auto"/>
        <w:jc w:val="center"/>
        <w:rPr>
          <w:b/>
        </w:rPr>
      </w:pPr>
      <w:r w:rsidRPr="003D4DC5">
        <w:rPr>
          <w:b/>
        </w:rPr>
        <w:t>Savivaldybės biudžeto 2025 metų</w:t>
      </w:r>
      <w:r w:rsidR="001250C0" w:rsidRPr="00AF5C0B">
        <w:rPr>
          <w:b/>
        </w:rPr>
        <w:t xml:space="preserve"> </w:t>
      </w:r>
      <w:r w:rsidR="00C414E2">
        <w:rPr>
          <w:b/>
        </w:rPr>
        <w:t>išlaidų</w:t>
      </w:r>
      <w:r w:rsidR="001250C0" w:rsidRPr="00AF5C0B">
        <w:rPr>
          <w:b/>
        </w:rPr>
        <w:t xml:space="preserve"> </w:t>
      </w:r>
      <w:r w:rsidR="001250C0" w:rsidRPr="00580643">
        <w:rPr>
          <w:b/>
        </w:rPr>
        <w:t xml:space="preserve">vykdymas pagal </w:t>
      </w:r>
      <w:r w:rsidR="001250C0">
        <w:rPr>
          <w:b/>
        </w:rPr>
        <w:t>valstybės funkcijas</w:t>
      </w:r>
    </w:p>
    <w:tbl>
      <w:tblPr>
        <w:tblW w:w="9531" w:type="dxa"/>
        <w:jc w:val="center"/>
        <w:tblLook w:val="04A0" w:firstRow="1" w:lastRow="0" w:firstColumn="1" w:lastColumn="0" w:noHBand="0" w:noVBand="1"/>
      </w:tblPr>
      <w:tblGrid>
        <w:gridCol w:w="3964"/>
        <w:gridCol w:w="1258"/>
        <w:gridCol w:w="1322"/>
        <w:gridCol w:w="1383"/>
        <w:gridCol w:w="1604"/>
      </w:tblGrid>
      <w:tr w:rsidR="001250C0" w:rsidRPr="000A5656" w14:paraId="66306E42" w14:textId="77777777" w:rsidTr="00516098">
        <w:trPr>
          <w:trHeight w:val="1279"/>
          <w:tblHeader/>
          <w:jc w:val="center"/>
        </w:trPr>
        <w:tc>
          <w:tcPr>
            <w:tcW w:w="39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122A47" w14:textId="3B55DA03" w:rsidR="001250C0" w:rsidRPr="000A5656" w:rsidRDefault="001250C0" w:rsidP="001250C0">
            <w:pPr>
              <w:jc w:val="center"/>
              <w:rPr>
                <w:b/>
                <w:bCs/>
                <w:szCs w:val="24"/>
              </w:rPr>
            </w:pPr>
            <w:r w:rsidRPr="000A5656">
              <w:rPr>
                <w:b/>
                <w:bCs/>
                <w:szCs w:val="24"/>
              </w:rPr>
              <w:t>Išlaidų pavadinimas</w:t>
            </w:r>
          </w:p>
        </w:tc>
        <w:tc>
          <w:tcPr>
            <w:tcW w:w="12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ECDA75" w14:textId="77777777" w:rsidR="001250C0" w:rsidRPr="000A5656" w:rsidRDefault="001250C0" w:rsidP="001250C0">
            <w:pPr>
              <w:jc w:val="center"/>
              <w:rPr>
                <w:b/>
                <w:bCs/>
                <w:szCs w:val="24"/>
              </w:rPr>
            </w:pPr>
            <w:r w:rsidRPr="000A5656">
              <w:rPr>
                <w:b/>
                <w:bCs/>
                <w:szCs w:val="24"/>
              </w:rPr>
              <w:t>2025 metų planas, tūkst. Eur</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858D4C" w14:textId="77777777" w:rsidR="001250C0" w:rsidRPr="000A5656" w:rsidRDefault="001250C0" w:rsidP="001250C0">
            <w:pPr>
              <w:jc w:val="center"/>
              <w:rPr>
                <w:b/>
                <w:bCs/>
                <w:szCs w:val="24"/>
              </w:rPr>
            </w:pPr>
            <w:r w:rsidRPr="000A5656">
              <w:rPr>
                <w:b/>
                <w:bCs/>
                <w:szCs w:val="24"/>
              </w:rPr>
              <w:t>Įvykdyta (kasinės išlaidos), tūkst. Eur</w:t>
            </w:r>
          </w:p>
        </w:tc>
        <w:tc>
          <w:tcPr>
            <w:tcW w:w="1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8A91CD" w14:textId="77777777" w:rsidR="001250C0" w:rsidRPr="000A5656" w:rsidRDefault="001250C0" w:rsidP="001250C0">
            <w:pPr>
              <w:jc w:val="center"/>
              <w:rPr>
                <w:b/>
                <w:bCs/>
                <w:szCs w:val="24"/>
              </w:rPr>
            </w:pPr>
            <w:r w:rsidRPr="000A5656">
              <w:rPr>
                <w:b/>
                <w:bCs/>
                <w:szCs w:val="24"/>
              </w:rPr>
              <w:t>Metinio plano išlaidų įvykdymas, proc.</w:t>
            </w:r>
          </w:p>
        </w:tc>
        <w:tc>
          <w:tcPr>
            <w:tcW w:w="16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081C3F" w14:textId="78D9170A" w:rsidR="001250C0" w:rsidRPr="000A5656" w:rsidRDefault="001250C0" w:rsidP="001250C0">
            <w:pPr>
              <w:jc w:val="center"/>
              <w:rPr>
                <w:b/>
                <w:bCs/>
                <w:szCs w:val="24"/>
              </w:rPr>
            </w:pPr>
            <w:r w:rsidRPr="000A5656">
              <w:rPr>
                <w:b/>
                <w:bCs/>
                <w:szCs w:val="24"/>
              </w:rPr>
              <w:t xml:space="preserve">Nepanaudotų </w:t>
            </w:r>
            <w:r w:rsidR="00C414E2">
              <w:rPr>
                <w:b/>
                <w:bCs/>
                <w:szCs w:val="24"/>
              </w:rPr>
              <w:t>išlaidų</w:t>
            </w:r>
            <w:r w:rsidRPr="000A5656">
              <w:rPr>
                <w:b/>
                <w:bCs/>
                <w:szCs w:val="24"/>
              </w:rPr>
              <w:t xml:space="preserve"> likutis, tūkst. Eur</w:t>
            </w:r>
          </w:p>
        </w:tc>
      </w:tr>
      <w:tr w:rsidR="001250C0" w:rsidRPr="000A5656" w14:paraId="197EEEF5" w14:textId="77777777" w:rsidTr="00516098">
        <w:trPr>
          <w:trHeight w:val="7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6B02BDDB" w14:textId="77777777" w:rsidR="001250C0" w:rsidRPr="000A5656" w:rsidRDefault="001250C0" w:rsidP="001250C0">
            <w:pPr>
              <w:rPr>
                <w:szCs w:val="24"/>
              </w:rPr>
            </w:pPr>
            <w:r w:rsidRPr="000A5656">
              <w:rPr>
                <w:szCs w:val="24"/>
              </w:rPr>
              <w:t>Bendros valstybės paslaugos</w:t>
            </w: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633A5944" w14:textId="77777777" w:rsidR="001250C0" w:rsidRPr="000A5656" w:rsidRDefault="001250C0" w:rsidP="001250C0">
            <w:pPr>
              <w:jc w:val="right"/>
              <w:rPr>
                <w:szCs w:val="24"/>
              </w:rPr>
            </w:pPr>
            <w:r w:rsidRPr="000A5656">
              <w:rPr>
                <w:szCs w:val="24"/>
              </w:rPr>
              <w:t>5 736,4</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507F7652" w14:textId="77777777" w:rsidR="001250C0" w:rsidRPr="000A5656" w:rsidRDefault="001250C0" w:rsidP="001250C0">
            <w:pPr>
              <w:jc w:val="right"/>
              <w:rPr>
                <w:szCs w:val="24"/>
              </w:rPr>
            </w:pPr>
            <w:r w:rsidRPr="000A5656">
              <w:rPr>
                <w:szCs w:val="24"/>
              </w:rPr>
              <w:t>5 544,5</w:t>
            </w:r>
          </w:p>
        </w:tc>
        <w:tc>
          <w:tcPr>
            <w:tcW w:w="1383" w:type="dxa"/>
            <w:tcBorders>
              <w:top w:val="single" w:sz="4" w:space="0" w:color="auto"/>
              <w:left w:val="single" w:sz="4" w:space="0" w:color="auto"/>
              <w:bottom w:val="single" w:sz="4" w:space="0" w:color="auto"/>
              <w:right w:val="single" w:sz="4" w:space="0" w:color="auto"/>
            </w:tcBorders>
            <w:noWrap/>
            <w:vAlign w:val="center"/>
            <w:hideMark/>
          </w:tcPr>
          <w:p w14:paraId="44EB01DA" w14:textId="77777777" w:rsidR="001250C0" w:rsidRPr="000A5656" w:rsidRDefault="001250C0" w:rsidP="001250C0">
            <w:pPr>
              <w:jc w:val="right"/>
              <w:rPr>
                <w:szCs w:val="24"/>
              </w:rPr>
            </w:pPr>
            <w:r w:rsidRPr="000A5656">
              <w:rPr>
                <w:szCs w:val="24"/>
              </w:rPr>
              <w:t>96,7</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06B2EEC7" w14:textId="77777777" w:rsidR="001250C0" w:rsidRPr="000A5656" w:rsidRDefault="001250C0" w:rsidP="001250C0">
            <w:pPr>
              <w:jc w:val="right"/>
              <w:rPr>
                <w:szCs w:val="24"/>
              </w:rPr>
            </w:pPr>
            <w:r w:rsidRPr="000A5656">
              <w:rPr>
                <w:szCs w:val="24"/>
              </w:rPr>
              <w:t>191,9</w:t>
            </w:r>
          </w:p>
        </w:tc>
      </w:tr>
      <w:tr w:rsidR="001250C0" w:rsidRPr="000A5656" w14:paraId="68465425" w14:textId="77777777" w:rsidTr="00516098">
        <w:trPr>
          <w:trHeight w:val="7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35A1FC5B" w14:textId="77777777" w:rsidR="001250C0" w:rsidRPr="000A5656" w:rsidRDefault="001250C0" w:rsidP="001250C0">
            <w:pPr>
              <w:rPr>
                <w:szCs w:val="24"/>
              </w:rPr>
            </w:pPr>
            <w:r w:rsidRPr="000A5656">
              <w:rPr>
                <w:szCs w:val="24"/>
              </w:rPr>
              <w:t>Gynyba</w:t>
            </w: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225AF040" w14:textId="77777777" w:rsidR="001250C0" w:rsidRPr="000A5656" w:rsidRDefault="001250C0" w:rsidP="001250C0">
            <w:pPr>
              <w:jc w:val="right"/>
              <w:rPr>
                <w:szCs w:val="24"/>
              </w:rPr>
            </w:pPr>
            <w:r w:rsidRPr="000A5656">
              <w:rPr>
                <w:szCs w:val="24"/>
              </w:rPr>
              <w:t>64,0</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5BF7BC7" w14:textId="77777777" w:rsidR="001250C0" w:rsidRPr="000A5656" w:rsidRDefault="001250C0" w:rsidP="001250C0">
            <w:pPr>
              <w:jc w:val="right"/>
              <w:rPr>
                <w:szCs w:val="24"/>
              </w:rPr>
            </w:pPr>
            <w:r w:rsidRPr="000A5656">
              <w:rPr>
                <w:szCs w:val="24"/>
              </w:rPr>
              <w:t>63,7</w:t>
            </w:r>
          </w:p>
        </w:tc>
        <w:tc>
          <w:tcPr>
            <w:tcW w:w="1383" w:type="dxa"/>
            <w:tcBorders>
              <w:top w:val="single" w:sz="4" w:space="0" w:color="auto"/>
              <w:left w:val="single" w:sz="4" w:space="0" w:color="auto"/>
              <w:bottom w:val="single" w:sz="4" w:space="0" w:color="auto"/>
              <w:right w:val="single" w:sz="4" w:space="0" w:color="auto"/>
            </w:tcBorders>
            <w:noWrap/>
            <w:vAlign w:val="center"/>
            <w:hideMark/>
          </w:tcPr>
          <w:p w14:paraId="6DFC416E" w14:textId="77777777" w:rsidR="001250C0" w:rsidRPr="000A5656" w:rsidRDefault="001250C0" w:rsidP="001250C0">
            <w:pPr>
              <w:jc w:val="right"/>
              <w:rPr>
                <w:szCs w:val="24"/>
              </w:rPr>
            </w:pPr>
            <w:r w:rsidRPr="000A5656">
              <w:rPr>
                <w:szCs w:val="24"/>
              </w:rPr>
              <w:t>99,5</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01670563" w14:textId="77777777" w:rsidR="001250C0" w:rsidRPr="000A5656" w:rsidRDefault="001250C0" w:rsidP="001250C0">
            <w:pPr>
              <w:jc w:val="right"/>
              <w:rPr>
                <w:szCs w:val="24"/>
              </w:rPr>
            </w:pPr>
            <w:r w:rsidRPr="000A5656">
              <w:rPr>
                <w:szCs w:val="24"/>
              </w:rPr>
              <w:t>0,3</w:t>
            </w:r>
          </w:p>
        </w:tc>
      </w:tr>
      <w:tr w:rsidR="001250C0" w:rsidRPr="000A5656" w14:paraId="26CCF82C" w14:textId="77777777" w:rsidTr="00516098">
        <w:trPr>
          <w:trHeight w:val="7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6D16FD96" w14:textId="77777777" w:rsidR="001250C0" w:rsidRPr="000A5656" w:rsidRDefault="001250C0" w:rsidP="001250C0">
            <w:pPr>
              <w:rPr>
                <w:szCs w:val="24"/>
              </w:rPr>
            </w:pPr>
            <w:r w:rsidRPr="000A5656">
              <w:rPr>
                <w:szCs w:val="24"/>
              </w:rPr>
              <w:t>Viešoji tvarka ir visuomenės apsauga</w:t>
            </w: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260B493F" w14:textId="77777777" w:rsidR="001250C0" w:rsidRPr="000A5656" w:rsidRDefault="001250C0" w:rsidP="001250C0">
            <w:pPr>
              <w:jc w:val="right"/>
              <w:rPr>
                <w:szCs w:val="24"/>
              </w:rPr>
            </w:pPr>
            <w:r w:rsidRPr="000A5656">
              <w:rPr>
                <w:szCs w:val="24"/>
              </w:rPr>
              <w:t>1 443,2</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A05C324" w14:textId="77777777" w:rsidR="001250C0" w:rsidRPr="000A5656" w:rsidRDefault="001250C0" w:rsidP="001250C0">
            <w:pPr>
              <w:jc w:val="right"/>
              <w:rPr>
                <w:szCs w:val="24"/>
              </w:rPr>
            </w:pPr>
            <w:r w:rsidRPr="000A5656">
              <w:rPr>
                <w:szCs w:val="24"/>
              </w:rPr>
              <w:t>1 433,9</w:t>
            </w:r>
          </w:p>
        </w:tc>
        <w:tc>
          <w:tcPr>
            <w:tcW w:w="1383" w:type="dxa"/>
            <w:tcBorders>
              <w:top w:val="single" w:sz="4" w:space="0" w:color="auto"/>
              <w:left w:val="single" w:sz="4" w:space="0" w:color="auto"/>
              <w:bottom w:val="single" w:sz="4" w:space="0" w:color="auto"/>
              <w:right w:val="single" w:sz="4" w:space="0" w:color="auto"/>
            </w:tcBorders>
            <w:noWrap/>
            <w:vAlign w:val="center"/>
            <w:hideMark/>
          </w:tcPr>
          <w:p w14:paraId="6A1BF9F7" w14:textId="77777777" w:rsidR="001250C0" w:rsidRPr="000A5656" w:rsidRDefault="001250C0" w:rsidP="001250C0">
            <w:pPr>
              <w:jc w:val="right"/>
              <w:rPr>
                <w:szCs w:val="24"/>
              </w:rPr>
            </w:pPr>
            <w:r w:rsidRPr="000A5656">
              <w:rPr>
                <w:szCs w:val="24"/>
              </w:rPr>
              <w:t>99,4</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4E517A48" w14:textId="77777777" w:rsidR="001250C0" w:rsidRPr="000A5656" w:rsidRDefault="001250C0" w:rsidP="001250C0">
            <w:pPr>
              <w:jc w:val="right"/>
              <w:rPr>
                <w:szCs w:val="24"/>
              </w:rPr>
            </w:pPr>
            <w:r w:rsidRPr="000A5656">
              <w:rPr>
                <w:szCs w:val="24"/>
              </w:rPr>
              <w:t>9,3</w:t>
            </w:r>
          </w:p>
        </w:tc>
      </w:tr>
      <w:tr w:rsidR="001250C0" w:rsidRPr="000A5656" w14:paraId="708B02A0" w14:textId="77777777" w:rsidTr="00516098">
        <w:trPr>
          <w:trHeight w:val="7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2059658F" w14:textId="77777777" w:rsidR="001250C0" w:rsidRPr="000A5656" w:rsidRDefault="001250C0" w:rsidP="001250C0">
            <w:pPr>
              <w:rPr>
                <w:szCs w:val="24"/>
              </w:rPr>
            </w:pPr>
            <w:r w:rsidRPr="000A5656">
              <w:rPr>
                <w:szCs w:val="24"/>
              </w:rPr>
              <w:t>Ekonomika</w:t>
            </w: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2099F3EC" w14:textId="77777777" w:rsidR="001250C0" w:rsidRPr="000A5656" w:rsidRDefault="001250C0" w:rsidP="001250C0">
            <w:pPr>
              <w:jc w:val="right"/>
              <w:rPr>
                <w:szCs w:val="24"/>
              </w:rPr>
            </w:pPr>
            <w:r w:rsidRPr="000A5656">
              <w:rPr>
                <w:szCs w:val="24"/>
              </w:rPr>
              <w:t>7 399,8</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D2F5776" w14:textId="77777777" w:rsidR="001250C0" w:rsidRPr="000A5656" w:rsidRDefault="001250C0" w:rsidP="001250C0">
            <w:pPr>
              <w:jc w:val="right"/>
              <w:rPr>
                <w:szCs w:val="24"/>
              </w:rPr>
            </w:pPr>
            <w:r w:rsidRPr="000A5656">
              <w:rPr>
                <w:szCs w:val="24"/>
              </w:rPr>
              <w:t>5 913,9</w:t>
            </w:r>
          </w:p>
        </w:tc>
        <w:tc>
          <w:tcPr>
            <w:tcW w:w="1383" w:type="dxa"/>
            <w:tcBorders>
              <w:top w:val="single" w:sz="4" w:space="0" w:color="auto"/>
              <w:left w:val="single" w:sz="4" w:space="0" w:color="auto"/>
              <w:bottom w:val="single" w:sz="4" w:space="0" w:color="auto"/>
              <w:right w:val="single" w:sz="4" w:space="0" w:color="auto"/>
            </w:tcBorders>
            <w:noWrap/>
            <w:vAlign w:val="center"/>
            <w:hideMark/>
          </w:tcPr>
          <w:p w14:paraId="2C3B2295" w14:textId="77777777" w:rsidR="001250C0" w:rsidRPr="000A5656" w:rsidRDefault="001250C0" w:rsidP="001250C0">
            <w:pPr>
              <w:jc w:val="right"/>
              <w:rPr>
                <w:szCs w:val="24"/>
              </w:rPr>
            </w:pPr>
            <w:r w:rsidRPr="000A5656">
              <w:rPr>
                <w:szCs w:val="24"/>
              </w:rPr>
              <w:t>79,9</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73AA8A5D" w14:textId="77777777" w:rsidR="001250C0" w:rsidRPr="000A5656" w:rsidRDefault="001250C0" w:rsidP="001250C0">
            <w:pPr>
              <w:jc w:val="right"/>
              <w:rPr>
                <w:szCs w:val="24"/>
              </w:rPr>
            </w:pPr>
            <w:r w:rsidRPr="000A5656">
              <w:rPr>
                <w:szCs w:val="24"/>
              </w:rPr>
              <w:t>1 485,9</w:t>
            </w:r>
          </w:p>
        </w:tc>
      </w:tr>
      <w:tr w:rsidR="001250C0" w:rsidRPr="000A5656" w14:paraId="00D2AB42" w14:textId="77777777" w:rsidTr="00516098">
        <w:trPr>
          <w:trHeight w:val="7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1FF0A33F" w14:textId="77777777" w:rsidR="001250C0" w:rsidRPr="000A5656" w:rsidRDefault="001250C0" w:rsidP="001250C0">
            <w:pPr>
              <w:rPr>
                <w:szCs w:val="24"/>
              </w:rPr>
            </w:pPr>
            <w:r w:rsidRPr="000A5656">
              <w:rPr>
                <w:szCs w:val="24"/>
              </w:rPr>
              <w:t>Aplinkos apsauga</w:t>
            </w: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6DB369BF" w14:textId="77777777" w:rsidR="001250C0" w:rsidRPr="000A5656" w:rsidRDefault="001250C0" w:rsidP="001250C0">
            <w:pPr>
              <w:jc w:val="right"/>
              <w:rPr>
                <w:szCs w:val="24"/>
              </w:rPr>
            </w:pPr>
            <w:r w:rsidRPr="000A5656">
              <w:rPr>
                <w:szCs w:val="24"/>
              </w:rPr>
              <w:t>2 313,0</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6ECB7A1" w14:textId="77777777" w:rsidR="001250C0" w:rsidRPr="000A5656" w:rsidRDefault="001250C0" w:rsidP="001250C0">
            <w:pPr>
              <w:jc w:val="right"/>
              <w:rPr>
                <w:szCs w:val="24"/>
              </w:rPr>
            </w:pPr>
            <w:r w:rsidRPr="000A5656">
              <w:rPr>
                <w:szCs w:val="24"/>
              </w:rPr>
              <w:t>1 926,4</w:t>
            </w:r>
          </w:p>
        </w:tc>
        <w:tc>
          <w:tcPr>
            <w:tcW w:w="1383" w:type="dxa"/>
            <w:tcBorders>
              <w:top w:val="single" w:sz="4" w:space="0" w:color="auto"/>
              <w:left w:val="single" w:sz="4" w:space="0" w:color="auto"/>
              <w:bottom w:val="single" w:sz="4" w:space="0" w:color="auto"/>
              <w:right w:val="single" w:sz="4" w:space="0" w:color="auto"/>
            </w:tcBorders>
            <w:noWrap/>
            <w:vAlign w:val="center"/>
            <w:hideMark/>
          </w:tcPr>
          <w:p w14:paraId="124D5D0E" w14:textId="77777777" w:rsidR="001250C0" w:rsidRPr="000A5656" w:rsidRDefault="001250C0" w:rsidP="001250C0">
            <w:pPr>
              <w:jc w:val="right"/>
              <w:rPr>
                <w:szCs w:val="24"/>
              </w:rPr>
            </w:pPr>
            <w:r w:rsidRPr="000A5656">
              <w:rPr>
                <w:szCs w:val="24"/>
              </w:rPr>
              <w:t>83,3</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3CF79317" w14:textId="77777777" w:rsidR="001250C0" w:rsidRPr="000A5656" w:rsidRDefault="001250C0" w:rsidP="001250C0">
            <w:pPr>
              <w:jc w:val="right"/>
              <w:rPr>
                <w:szCs w:val="24"/>
              </w:rPr>
            </w:pPr>
            <w:r w:rsidRPr="000A5656">
              <w:rPr>
                <w:szCs w:val="24"/>
              </w:rPr>
              <w:t>386,6</w:t>
            </w:r>
          </w:p>
        </w:tc>
      </w:tr>
      <w:tr w:rsidR="001250C0" w:rsidRPr="000A5656" w14:paraId="26A3AEE2" w14:textId="77777777" w:rsidTr="00516098">
        <w:trPr>
          <w:trHeight w:val="7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2D00A48C" w14:textId="77777777" w:rsidR="001250C0" w:rsidRPr="000A5656" w:rsidRDefault="001250C0" w:rsidP="001250C0">
            <w:pPr>
              <w:rPr>
                <w:szCs w:val="24"/>
              </w:rPr>
            </w:pPr>
            <w:r w:rsidRPr="000A5656">
              <w:rPr>
                <w:szCs w:val="24"/>
              </w:rPr>
              <w:t>Būstas ir komunalinis ūkis</w:t>
            </w: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0CB550BA" w14:textId="77777777" w:rsidR="001250C0" w:rsidRPr="000A5656" w:rsidRDefault="001250C0" w:rsidP="001250C0">
            <w:pPr>
              <w:jc w:val="right"/>
              <w:rPr>
                <w:szCs w:val="24"/>
              </w:rPr>
            </w:pPr>
            <w:r w:rsidRPr="000A5656">
              <w:rPr>
                <w:szCs w:val="24"/>
              </w:rPr>
              <w:t>2 659,4</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2E6A196" w14:textId="77777777" w:rsidR="001250C0" w:rsidRPr="000A5656" w:rsidRDefault="001250C0" w:rsidP="001250C0">
            <w:pPr>
              <w:jc w:val="right"/>
              <w:rPr>
                <w:szCs w:val="24"/>
              </w:rPr>
            </w:pPr>
            <w:r w:rsidRPr="000A5656">
              <w:rPr>
                <w:szCs w:val="24"/>
              </w:rPr>
              <w:t>2 284,2</w:t>
            </w:r>
          </w:p>
        </w:tc>
        <w:tc>
          <w:tcPr>
            <w:tcW w:w="1383" w:type="dxa"/>
            <w:tcBorders>
              <w:top w:val="single" w:sz="4" w:space="0" w:color="auto"/>
              <w:left w:val="single" w:sz="4" w:space="0" w:color="auto"/>
              <w:bottom w:val="single" w:sz="4" w:space="0" w:color="auto"/>
              <w:right w:val="single" w:sz="4" w:space="0" w:color="auto"/>
            </w:tcBorders>
            <w:noWrap/>
            <w:vAlign w:val="center"/>
            <w:hideMark/>
          </w:tcPr>
          <w:p w14:paraId="04D1C78F" w14:textId="77777777" w:rsidR="001250C0" w:rsidRPr="000A5656" w:rsidRDefault="001250C0" w:rsidP="001250C0">
            <w:pPr>
              <w:jc w:val="right"/>
              <w:rPr>
                <w:szCs w:val="24"/>
              </w:rPr>
            </w:pPr>
            <w:r w:rsidRPr="000A5656">
              <w:rPr>
                <w:szCs w:val="24"/>
              </w:rPr>
              <w:t>85,9</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7EE15C6D" w14:textId="77777777" w:rsidR="001250C0" w:rsidRPr="000A5656" w:rsidRDefault="001250C0" w:rsidP="001250C0">
            <w:pPr>
              <w:jc w:val="right"/>
              <w:rPr>
                <w:szCs w:val="24"/>
              </w:rPr>
            </w:pPr>
            <w:r w:rsidRPr="000A5656">
              <w:rPr>
                <w:szCs w:val="24"/>
              </w:rPr>
              <w:t>375,2</w:t>
            </w:r>
          </w:p>
        </w:tc>
      </w:tr>
      <w:tr w:rsidR="001250C0" w:rsidRPr="000A5656" w14:paraId="116A62A1" w14:textId="77777777" w:rsidTr="00516098">
        <w:trPr>
          <w:trHeight w:val="7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7078D7E9" w14:textId="77777777" w:rsidR="001250C0" w:rsidRPr="000A5656" w:rsidRDefault="001250C0" w:rsidP="001250C0">
            <w:pPr>
              <w:rPr>
                <w:szCs w:val="24"/>
              </w:rPr>
            </w:pPr>
            <w:r w:rsidRPr="000A5656">
              <w:rPr>
                <w:szCs w:val="24"/>
              </w:rPr>
              <w:t>Sveikatos apsauga</w:t>
            </w: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66FFEE3E" w14:textId="77777777" w:rsidR="001250C0" w:rsidRPr="000A5656" w:rsidRDefault="001250C0" w:rsidP="001250C0">
            <w:pPr>
              <w:jc w:val="right"/>
              <w:rPr>
                <w:szCs w:val="24"/>
              </w:rPr>
            </w:pPr>
            <w:r w:rsidRPr="000A5656">
              <w:rPr>
                <w:szCs w:val="24"/>
              </w:rPr>
              <w:t>1 441,7</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363B03F" w14:textId="77777777" w:rsidR="001250C0" w:rsidRPr="000A5656" w:rsidRDefault="001250C0" w:rsidP="001250C0">
            <w:pPr>
              <w:jc w:val="right"/>
              <w:rPr>
                <w:szCs w:val="24"/>
              </w:rPr>
            </w:pPr>
            <w:r w:rsidRPr="000A5656">
              <w:rPr>
                <w:szCs w:val="24"/>
              </w:rPr>
              <w:t>1 429,7</w:t>
            </w:r>
          </w:p>
        </w:tc>
        <w:tc>
          <w:tcPr>
            <w:tcW w:w="1383" w:type="dxa"/>
            <w:tcBorders>
              <w:top w:val="single" w:sz="4" w:space="0" w:color="auto"/>
              <w:left w:val="single" w:sz="4" w:space="0" w:color="auto"/>
              <w:bottom w:val="single" w:sz="4" w:space="0" w:color="auto"/>
              <w:right w:val="single" w:sz="4" w:space="0" w:color="auto"/>
            </w:tcBorders>
            <w:noWrap/>
            <w:vAlign w:val="center"/>
            <w:hideMark/>
          </w:tcPr>
          <w:p w14:paraId="226D0DB2" w14:textId="77777777" w:rsidR="001250C0" w:rsidRPr="000A5656" w:rsidRDefault="001250C0" w:rsidP="001250C0">
            <w:pPr>
              <w:jc w:val="right"/>
              <w:rPr>
                <w:szCs w:val="24"/>
              </w:rPr>
            </w:pPr>
            <w:r w:rsidRPr="000A5656">
              <w:rPr>
                <w:szCs w:val="24"/>
              </w:rPr>
              <w:t>99,2</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4CB330F7" w14:textId="77777777" w:rsidR="001250C0" w:rsidRPr="000A5656" w:rsidRDefault="001250C0" w:rsidP="001250C0">
            <w:pPr>
              <w:jc w:val="right"/>
              <w:rPr>
                <w:szCs w:val="24"/>
              </w:rPr>
            </w:pPr>
            <w:r w:rsidRPr="000A5656">
              <w:rPr>
                <w:szCs w:val="24"/>
              </w:rPr>
              <w:t>12,0</w:t>
            </w:r>
          </w:p>
        </w:tc>
      </w:tr>
      <w:tr w:rsidR="001250C0" w:rsidRPr="000A5656" w14:paraId="7CDC26E7" w14:textId="77777777" w:rsidTr="00516098">
        <w:trPr>
          <w:trHeight w:val="7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3956675F" w14:textId="77777777" w:rsidR="001250C0" w:rsidRPr="000A5656" w:rsidRDefault="001250C0" w:rsidP="001250C0">
            <w:pPr>
              <w:rPr>
                <w:szCs w:val="24"/>
              </w:rPr>
            </w:pPr>
            <w:r w:rsidRPr="000A5656">
              <w:rPr>
                <w:szCs w:val="24"/>
              </w:rPr>
              <w:t>Poilsis, kultūra ir religija</w:t>
            </w: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42C879C8" w14:textId="77777777" w:rsidR="001250C0" w:rsidRPr="000A5656" w:rsidRDefault="001250C0" w:rsidP="001250C0">
            <w:pPr>
              <w:jc w:val="right"/>
              <w:rPr>
                <w:szCs w:val="24"/>
              </w:rPr>
            </w:pPr>
            <w:r w:rsidRPr="000A5656">
              <w:rPr>
                <w:szCs w:val="24"/>
              </w:rPr>
              <w:t>5 465,4</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FF4D86E" w14:textId="77777777" w:rsidR="001250C0" w:rsidRPr="000A5656" w:rsidRDefault="001250C0" w:rsidP="001250C0">
            <w:pPr>
              <w:jc w:val="right"/>
              <w:rPr>
                <w:szCs w:val="24"/>
              </w:rPr>
            </w:pPr>
            <w:r w:rsidRPr="000A5656">
              <w:rPr>
                <w:szCs w:val="24"/>
              </w:rPr>
              <w:t>5 372,8</w:t>
            </w:r>
          </w:p>
        </w:tc>
        <w:tc>
          <w:tcPr>
            <w:tcW w:w="1383" w:type="dxa"/>
            <w:tcBorders>
              <w:top w:val="single" w:sz="4" w:space="0" w:color="auto"/>
              <w:left w:val="single" w:sz="4" w:space="0" w:color="auto"/>
              <w:bottom w:val="single" w:sz="4" w:space="0" w:color="auto"/>
              <w:right w:val="single" w:sz="4" w:space="0" w:color="auto"/>
            </w:tcBorders>
            <w:noWrap/>
            <w:vAlign w:val="center"/>
            <w:hideMark/>
          </w:tcPr>
          <w:p w14:paraId="0F1FC796" w14:textId="77777777" w:rsidR="001250C0" w:rsidRPr="000A5656" w:rsidRDefault="001250C0" w:rsidP="001250C0">
            <w:pPr>
              <w:jc w:val="right"/>
              <w:rPr>
                <w:szCs w:val="24"/>
              </w:rPr>
            </w:pPr>
            <w:r w:rsidRPr="000A5656">
              <w:rPr>
                <w:szCs w:val="24"/>
              </w:rPr>
              <w:t>98,3</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51386DE1" w14:textId="77777777" w:rsidR="001250C0" w:rsidRPr="000A5656" w:rsidRDefault="001250C0" w:rsidP="001250C0">
            <w:pPr>
              <w:jc w:val="right"/>
              <w:rPr>
                <w:szCs w:val="24"/>
              </w:rPr>
            </w:pPr>
            <w:r w:rsidRPr="000A5656">
              <w:rPr>
                <w:szCs w:val="24"/>
              </w:rPr>
              <w:t>92,6</w:t>
            </w:r>
          </w:p>
        </w:tc>
      </w:tr>
      <w:tr w:rsidR="001250C0" w:rsidRPr="000A5656" w14:paraId="46778080" w14:textId="77777777" w:rsidTr="00516098">
        <w:trPr>
          <w:trHeight w:val="7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24CD67C7" w14:textId="77777777" w:rsidR="001250C0" w:rsidRPr="000A5656" w:rsidRDefault="001250C0" w:rsidP="001250C0">
            <w:pPr>
              <w:rPr>
                <w:szCs w:val="24"/>
              </w:rPr>
            </w:pPr>
            <w:r w:rsidRPr="000A5656">
              <w:rPr>
                <w:szCs w:val="24"/>
              </w:rPr>
              <w:t>Švietimas</w:t>
            </w: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7712FA82" w14:textId="77777777" w:rsidR="001250C0" w:rsidRPr="000A5656" w:rsidRDefault="001250C0" w:rsidP="001250C0">
            <w:pPr>
              <w:jc w:val="right"/>
              <w:rPr>
                <w:szCs w:val="24"/>
              </w:rPr>
            </w:pPr>
            <w:r w:rsidRPr="000A5656">
              <w:rPr>
                <w:szCs w:val="24"/>
              </w:rPr>
              <w:t>18 727,6</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E21366D" w14:textId="77777777" w:rsidR="001250C0" w:rsidRPr="000A5656" w:rsidRDefault="001250C0" w:rsidP="001250C0">
            <w:pPr>
              <w:jc w:val="right"/>
              <w:rPr>
                <w:szCs w:val="24"/>
              </w:rPr>
            </w:pPr>
            <w:r w:rsidRPr="000A5656">
              <w:rPr>
                <w:szCs w:val="24"/>
              </w:rPr>
              <w:t>18 311,4</w:t>
            </w:r>
          </w:p>
        </w:tc>
        <w:tc>
          <w:tcPr>
            <w:tcW w:w="1383" w:type="dxa"/>
            <w:tcBorders>
              <w:top w:val="single" w:sz="4" w:space="0" w:color="auto"/>
              <w:left w:val="single" w:sz="4" w:space="0" w:color="auto"/>
              <w:bottom w:val="single" w:sz="4" w:space="0" w:color="auto"/>
              <w:right w:val="single" w:sz="4" w:space="0" w:color="auto"/>
            </w:tcBorders>
            <w:noWrap/>
            <w:vAlign w:val="center"/>
            <w:hideMark/>
          </w:tcPr>
          <w:p w14:paraId="4B31CE56" w14:textId="77777777" w:rsidR="001250C0" w:rsidRPr="000A5656" w:rsidRDefault="001250C0" w:rsidP="001250C0">
            <w:pPr>
              <w:jc w:val="right"/>
              <w:rPr>
                <w:szCs w:val="24"/>
              </w:rPr>
            </w:pPr>
            <w:r w:rsidRPr="000A5656">
              <w:rPr>
                <w:szCs w:val="24"/>
              </w:rPr>
              <w:t>97,8</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50C591CF" w14:textId="77777777" w:rsidR="001250C0" w:rsidRPr="000A5656" w:rsidRDefault="001250C0" w:rsidP="001250C0">
            <w:pPr>
              <w:jc w:val="right"/>
              <w:rPr>
                <w:szCs w:val="24"/>
              </w:rPr>
            </w:pPr>
            <w:r w:rsidRPr="000A5656">
              <w:rPr>
                <w:szCs w:val="24"/>
              </w:rPr>
              <w:t>416,2</w:t>
            </w:r>
          </w:p>
        </w:tc>
      </w:tr>
      <w:tr w:rsidR="001250C0" w:rsidRPr="000A5656" w14:paraId="614A8DA3" w14:textId="77777777" w:rsidTr="00516098">
        <w:trPr>
          <w:trHeight w:val="7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71898138" w14:textId="77777777" w:rsidR="001250C0" w:rsidRPr="000A5656" w:rsidRDefault="001250C0" w:rsidP="001250C0">
            <w:pPr>
              <w:rPr>
                <w:szCs w:val="24"/>
              </w:rPr>
            </w:pPr>
            <w:r w:rsidRPr="000A5656">
              <w:rPr>
                <w:szCs w:val="24"/>
              </w:rPr>
              <w:t>Socialinė apsauga</w:t>
            </w: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432F2F90" w14:textId="77777777" w:rsidR="001250C0" w:rsidRPr="000A5656" w:rsidRDefault="001250C0" w:rsidP="001250C0">
            <w:pPr>
              <w:jc w:val="right"/>
              <w:rPr>
                <w:szCs w:val="24"/>
              </w:rPr>
            </w:pPr>
            <w:r w:rsidRPr="000A5656">
              <w:rPr>
                <w:szCs w:val="24"/>
              </w:rPr>
              <w:t>11 690,6</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44088A6" w14:textId="77777777" w:rsidR="001250C0" w:rsidRPr="000A5656" w:rsidRDefault="001250C0" w:rsidP="001250C0">
            <w:pPr>
              <w:jc w:val="right"/>
              <w:rPr>
                <w:szCs w:val="24"/>
              </w:rPr>
            </w:pPr>
            <w:r w:rsidRPr="000A5656">
              <w:rPr>
                <w:szCs w:val="24"/>
              </w:rPr>
              <w:t>11 236,8</w:t>
            </w:r>
          </w:p>
        </w:tc>
        <w:tc>
          <w:tcPr>
            <w:tcW w:w="1383" w:type="dxa"/>
            <w:tcBorders>
              <w:top w:val="single" w:sz="4" w:space="0" w:color="auto"/>
              <w:left w:val="single" w:sz="4" w:space="0" w:color="auto"/>
              <w:bottom w:val="single" w:sz="4" w:space="0" w:color="auto"/>
              <w:right w:val="single" w:sz="4" w:space="0" w:color="auto"/>
            </w:tcBorders>
            <w:noWrap/>
            <w:vAlign w:val="center"/>
            <w:hideMark/>
          </w:tcPr>
          <w:p w14:paraId="3AC6F9E8" w14:textId="77777777" w:rsidR="001250C0" w:rsidRPr="000A5656" w:rsidRDefault="001250C0" w:rsidP="001250C0">
            <w:pPr>
              <w:jc w:val="right"/>
              <w:rPr>
                <w:szCs w:val="24"/>
              </w:rPr>
            </w:pPr>
            <w:r w:rsidRPr="000A5656">
              <w:rPr>
                <w:szCs w:val="24"/>
              </w:rPr>
              <w:t>96,1</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7E6E1C8F" w14:textId="77777777" w:rsidR="001250C0" w:rsidRPr="000A5656" w:rsidRDefault="001250C0" w:rsidP="001250C0">
            <w:pPr>
              <w:jc w:val="right"/>
              <w:rPr>
                <w:szCs w:val="24"/>
              </w:rPr>
            </w:pPr>
            <w:r w:rsidRPr="000A5656">
              <w:rPr>
                <w:szCs w:val="24"/>
              </w:rPr>
              <w:t>453,8</w:t>
            </w:r>
          </w:p>
        </w:tc>
      </w:tr>
      <w:tr w:rsidR="001250C0" w:rsidRPr="000A5656" w14:paraId="29156C43" w14:textId="77777777" w:rsidTr="00516098">
        <w:trPr>
          <w:trHeight w:val="70"/>
          <w:jc w:val="center"/>
        </w:trPr>
        <w:tc>
          <w:tcPr>
            <w:tcW w:w="396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04289171" w14:textId="77777777" w:rsidR="001250C0" w:rsidRPr="000A5656" w:rsidRDefault="001250C0" w:rsidP="001250C0">
            <w:pPr>
              <w:jc w:val="right"/>
              <w:rPr>
                <w:b/>
                <w:bCs/>
                <w:szCs w:val="24"/>
              </w:rPr>
            </w:pPr>
            <w:r w:rsidRPr="000A5656">
              <w:rPr>
                <w:b/>
                <w:bCs/>
                <w:szCs w:val="24"/>
              </w:rPr>
              <w:t>Iš viso išlaidų:</w:t>
            </w:r>
          </w:p>
        </w:tc>
        <w:tc>
          <w:tcPr>
            <w:tcW w:w="125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23604CC2" w14:textId="77777777" w:rsidR="001250C0" w:rsidRPr="000A5656" w:rsidRDefault="001250C0" w:rsidP="001250C0">
            <w:pPr>
              <w:jc w:val="right"/>
              <w:rPr>
                <w:b/>
                <w:bCs/>
                <w:szCs w:val="24"/>
              </w:rPr>
            </w:pPr>
            <w:r w:rsidRPr="000A5656">
              <w:rPr>
                <w:b/>
                <w:bCs/>
                <w:szCs w:val="24"/>
              </w:rPr>
              <w:t>56 941,1</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06D6480" w14:textId="77777777" w:rsidR="001250C0" w:rsidRPr="000A5656" w:rsidRDefault="001250C0" w:rsidP="001250C0">
            <w:pPr>
              <w:jc w:val="right"/>
              <w:rPr>
                <w:b/>
                <w:bCs/>
                <w:szCs w:val="24"/>
              </w:rPr>
            </w:pPr>
            <w:r w:rsidRPr="000A5656">
              <w:rPr>
                <w:b/>
                <w:bCs/>
                <w:szCs w:val="24"/>
              </w:rPr>
              <w:t>53 517,3</w:t>
            </w:r>
          </w:p>
        </w:tc>
        <w:tc>
          <w:tcPr>
            <w:tcW w:w="13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FB55AEA" w14:textId="77777777" w:rsidR="001250C0" w:rsidRPr="000A5656" w:rsidRDefault="001250C0" w:rsidP="001250C0">
            <w:pPr>
              <w:jc w:val="right"/>
              <w:rPr>
                <w:b/>
                <w:bCs/>
                <w:szCs w:val="24"/>
              </w:rPr>
            </w:pPr>
            <w:r w:rsidRPr="000A5656">
              <w:rPr>
                <w:b/>
                <w:bCs/>
                <w:szCs w:val="24"/>
              </w:rPr>
              <w:t>94,0</w:t>
            </w:r>
          </w:p>
        </w:tc>
        <w:tc>
          <w:tcPr>
            <w:tcW w:w="16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2B6DA9BC" w14:textId="77777777" w:rsidR="001250C0" w:rsidRPr="000A5656" w:rsidRDefault="001250C0" w:rsidP="001250C0">
            <w:pPr>
              <w:jc w:val="right"/>
              <w:rPr>
                <w:b/>
                <w:bCs/>
                <w:szCs w:val="24"/>
              </w:rPr>
            </w:pPr>
            <w:r w:rsidRPr="000A5656">
              <w:rPr>
                <w:b/>
                <w:bCs/>
                <w:szCs w:val="24"/>
              </w:rPr>
              <w:t>3 423,8</w:t>
            </w:r>
          </w:p>
        </w:tc>
      </w:tr>
      <w:tr w:rsidR="001250C0" w:rsidRPr="000A5656" w14:paraId="47A3B1E0" w14:textId="77777777" w:rsidTr="00516098">
        <w:trPr>
          <w:trHeight w:val="570"/>
          <w:jc w:val="center"/>
        </w:trPr>
        <w:tc>
          <w:tcPr>
            <w:tcW w:w="3964" w:type="dxa"/>
            <w:tcBorders>
              <w:top w:val="single" w:sz="4" w:space="0" w:color="auto"/>
              <w:left w:val="single" w:sz="4" w:space="0" w:color="auto"/>
              <w:bottom w:val="single" w:sz="4" w:space="0" w:color="auto"/>
              <w:right w:val="single" w:sz="4" w:space="0" w:color="auto"/>
            </w:tcBorders>
            <w:vAlign w:val="bottom"/>
            <w:hideMark/>
          </w:tcPr>
          <w:p w14:paraId="35E70D73" w14:textId="77777777" w:rsidR="001250C0" w:rsidRPr="000A5656" w:rsidRDefault="001250C0" w:rsidP="001250C0">
            <w:pPr>
              <w:jc w:val="right"/>
              <w:rPr>
                <w:i/>
                <w:iCs/>
                <w:szCs w:val="24"/>
              </w:rPr>
            </w:pPr>
            <w:r w:rsidRPr="000A5656">
              <w:rPr>
                <w:i/>
                <w:iCs/>
                <w:szCs w:val="24"/>
              </w:rPr>
              <w:t>iš jų finansinių įsipareigojimų vykdymas (paskolų grąžinimas)</w:t>
            </w:r>
          </w:p>
        </w:tc>
        <w:tc>
          <w:tcPr>
            <w:tcW w:w="1258" w:type="dxa"/>
            <w:tcBorders>
              <w:top w:val="single" w:sz="4" w:space="0" w:color="auto"/>
              <w:left w:val="single" w:sz="4" w:space="0" w:color="auto"/>
              <w:bottom w:val="single" w:sz="4" w:space="0" w:color="auto"/>
              <w:right w:val="single" w:sz="4" w:space="0" w:color="auto"/>
            </w:tcBorders>
            <w:noWrap/>
            <w:vAlign w:val="center"/>
            <w:hideMark/>
          </w:tcPr>
          <w:p w14:paraId="7BFBB6B6" w14:textId="77777777" w:rsidR="001250C0" w:rsidRPr="000A5656" w:rsidRDefault="001250C0" w:rsidP="001250C0">
            <w:pPr>
              <w:jc w:val="right"/>
              <w:rPr>
                <w:i/>
                <w:iCs/>
                <w:szCs w:val="24"/>
              </w:rPr>
            </w:pPr>
            <w:r w:rsidRPr="000A5656">
              <w:rPr>
                <w:i/>
                <w:iCs/>
                <w:szCs w:val="24"/>
              </w:rPr>
              <w:t>912,1</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29D5E54" w14:textId="09EB281E" w:rsidR="001250C0" w:rsidRPr="000A5656" w:rsidRDefault="001250C0" w:rsidP="001250C0">
            <w:pPr>
              <w:jc w:val="right"/>
              <w:rPr>
                <w:i/>
                <w:iCs/>
                <w:szCs w:val="24"/>
              </w:rPr>
            </w:pPr>
            <w:r w:rsidRPr="000A5656">
              <w:rPr>
                <w:i/>
                <w:iCs/>
                <w:szCs w:val="24"/>
              </w:rPr>
              <w:t>912</w:t>
            </w:r>
            <w:r w:rsidR="000F637B">
              <w:rPr>
                <w:i/>
                <w:iCs/>
                <w:szCs w:val="24"/>
              </w:rPr>
              <w:t>,0</w:t>
            </w:r>
          </w:p>
        </w:tc>
        <w:tc>
          <w:tcPr>
            <w:tcW w:w="1383" w:type="dxa"/>
            <w:tcBorders>
              <w:top w:val="single" w:sz="4" w:space="0" w:color="auto"/>
              <w:left w:val="single" w:sz="4" w:space="0" w:color="auto"/>
              <w:bottom w:val="single" w:sz="4" w:space="0" w:color="auto"/>
              <w:right w:val="single" w:sz="4" w:space="0" w:color="auto"/>
            </w:tcBorders>
            <w:noWrap/>
            <w:vAlign w:val="center"/>
            <w:hideMark/>
          </w:tcPr>
          <w:p w14:paraId="6A3879E1" w14:textId="77777777" w:rsidR="001250C0" w:rsidRPr="000A5656" w:rsidRDefault="001250C0" w:rsidP="001250C0">
            <w:pPr>
              <w:jc w:val="right"/>
              <w:rPr>
                <w:i/>
                <w:iCs/>
                <w:szCs w:val="24"/>
              </w:rPr>
            </w:pPr>
            <w:r w:rsidRPr="000A5656">
              <w:rPr>
                <w:i/>
                <w:iCs/>
                <w:szCs w:val="24"/>
              </w:rPr>
              <w:t>100,0</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13A8A3E1" w14:textId="77777777" w:rsidR="001250C0" w:rsidRPr="00D530AF" w:rsidRDefault="001250C0" w:rsidP="001250C0">
            <w:pPr>
              <w:jc w:val="right"/>
              <w:rPr>
                <w:i/>
                <w:iCs/>
                <w:szCs w:val="24"/>
              </w:rPr>
            </w:pPr>
            <w:r w:rsidRPr="00D530AF">
              <w:rPr>
                <w:i/>
                <w:iCs/>
                <w:szCs w:val="24"/>
              </w:rPr>
              <w:t>0,1</w:t>
            </w:r>
          </w:p>
        </w:tc>
      </w:tr>
      <w:tr w:rsidR="001250C0" w:rsidRPr="000A5656" w14:paraId="3BB7104E" w14:textId="77777777" w:rsidTr="00516098">
        <w:trPr>
          <w:trHeight w:val="585"/>
          <w:jc w:val="center"/>
        </w:trPr>
        <w:tc>
          <w:tcPr>
            <w:tcW w:w="3964" w:type="dxa"/>
            <w:tcBorders>
              <w:top w:val="single" w:sz="4" w:space="0" w:color="auto"/>
              <w:left w:val="single" w:sz="4" w:space="0" w:color="auto"/>
              <w:bottom w:val="single" w:sz="4" w:space="0" w:color="auto"/>
              <w:right w:val="single" w:sz="4" w:space="0" w:color="auto"/>
            </w:tcBorders>
            <w:vAlign w:val="bottom"/>
            <w:hideMark/>
          </w:tcPr>
          <w:p w14:paraId="6DEBAE9F" w14:textId="77777777" w:rsidR="001250C0" w:rsidRPr="000A5656" w:rsidRDefault="001250C0" w:rsidP="001250C0">
            <w:pPr>
              <w:jc w:val="right"/>
              <w:rPr>
                <w:b/>
                <w:bCs/>
                <w:szCs w:val="24"/>
              </w:rPr>
            </w:pPr>
            <w:r w:rsidRPr="000A5656">
              <w:rPr>
                <w:b/>
                <w:bCs/>
                <w:szCs w:val="24"/>
              </w:rPr>
              <w:t>Išlaidos be finansinių įsipareigojimų vykdymo (paskolų grąžinimo)</w:t>
            </w:r>
          </w:p>
        </w:tc>
        <w:tc>
          <w:tcPr>
            <w:tcW w:w="1258" w:type="dxa"/>
            <w:tcBorders>
              <w:top w:val="single" w:sz="4" w:space="0" w:color="auto"/>
              <w:left w:val="nil"/>
              <w:bottom w:val="single" w:sz="4" w:space="0" w:color="auto"/>
              <w:right w:val="single" w:sz="4" w:space="0" w:color="auto"/>
            </w:tcBorders>
            <w:noWrap/>
            <w:vAlign w:val="center"/>
            <w:hideMark/>
          </w:tcPr>
          <w:p w14:paraId="0596F836" w14:textId="77777777" w:rsidR="001250C0" w:rsidRPr="000A5656" w:rsidRDefault="001250C0" w:rsidP="001250C0">
            <w:pPr>
              <w:jc w:val="right"/>
              <w:rPr>
                <w:b/>
                <w:bCs/>
                <w:szCs w:val="24"/>
              </w:rPr>
            </w:pPr>
            <w:r w:rsidRPr="000A5656">
              <w:rPr>
                <w:b/>
                <w:bCs/>
                <w:szCs w:val="24"/>
              </w:rPr>
              <w:t>56 029,0</w:t>
            </w:r>
          </w:p>
        </w:tc>
        <w:tc>
          <w:tcPr>
            <w:tcW w:w="1322" w:type="dxa"/>
            <w:tcBorders>
              <w:top w:val="single" w:sz="4" w:space="0" w:color="auto"/>
              <w:left w:val="nil"/>
              <w:bottom w:val="single" w:sz="4" w:space="0" w:color="auto"/>
              <w:right w:val="single" w:sz="4" w:space="0" w:color="auto"/>
            </w:tcBorders>
            <w:noWrap/>
            <w:vAlign w:val="center"/>
            <w:hideMark/>
          </w:tcPr>
          <w:p w14:paraId="0BBCD935" w14:textId="77777777" w:rsidR="001250C0" w:rsidRPr="000A5656" w:rsidRDefault="001250C0" w:rsidP="001250C0">
            <w:pPr>
              <w:jc w:val="right"/>
              <w:rPr>
                <w:b/>
                <w:bCs/>
                <w:szCs w:val="24"/>
              </w:rPr>
            </w:pPr>
            <w:r w:rsidRPr="000A5656">
              <w:rPr>
                <w:b/>
                <w:bCs/>
                <w:szCs w:val="24"/>
              </w:rPr>
              <w:t>52 605,3</w:t>
            </w:r>
          </w:p>
        </w:tc>
        <w:tc>
          <w:tcPr>
            <w:tcW w:w="1383" w:type="dxa"/>
            <w:tcBorders>
              <w:top w:val="single" w:sz="4" w:space="0" w:color="auto"/>
              <w:left w:val="nil"/>
              <w:bottom w:val="single" w:sz="4" w:space="0" w:color="auto"/>
              <w:right w:val="single" w:sz="4" w:space="0" w:color="auto"/>
            </w:tcBorders>
            <w:noWrap/>
            <w:vAlign w:val="center"/>
            <w:hideMark/>
          </w:tcPr>
          <w:p w14:paraId="66E57276" w14:textId="77777777" w:rsidR="001250C0" w:rsidRPr="000A5656" w:rsidRDefault="001250C0" w:rsidP="001250C0">
            <w:pPr>
              <w:jc w:val="right"/>
              <w:rPr>
                <w:b/>
                <w:bCs/>
                <w:szCs w:val="24"/>
              </w:rPr>
            </w:pPr>
            <w:r w:rsidRPr="000A5656">
              <w:rPr>
                <w:b/>
                <w:bCs/>
                <w:szCs w:val="24"/>
              </w:rPr>
              <w:t>93,9</w:t>
            </w:r>
          </w:p>
        </w:tc>
        <w:tc>
          <w:tcPr>
            <w:tcW w:w="1604" w:type="dxa"/>
            <w:tcBorders>
              <w:top w:val="single" w:sz="4" w:space="0" w:color="auto"/>
              <w:left w:val="nil"/>
              <w:bottom w:val="single" w:sz="4" w:space="0" w:color="auto"/>
              <w:right w:val="single" w:sz="4" w:space="0" w:color="auto"/>
            </w:tcBorders>
            <w:noWrap/>
            <w:vAlign w:val="center"/>
            <w:hideMark/>
          </w:tcPr>
          <w:p w14:paraId="0B64F927" w14:textId="77777777" w:rsidR="001250C0" w:rsidRPr="000A5656" w:rsidRDefault="001250C0" w:rsidP="001250C0">
            <w:pPr>
              <w:jc w:val="right"/>
              <w:rPr>
                <w:b/>
                <w:bCs/>
                <w:szCs w:val="24"/>
              </w:rPr>
            </w:pPr>
            <w:r w:rsidRPr="000A5656">
              <w:rPr>
                <w:b/>
                <w:bCs/>
                <w:szCs w:val="24"/>
              </w:rPr>
              <w:t>3 423,7</w:t>
            </w:r>
          </w:p>
        </w:tc>
      </w:tr>
    </w:tbl>
    <w:p w14:paraId="449BC511" w14:textId="77777777" w:rsidR="001250C0" w:rsidRPr="00EB1457" w:rsidRDefault="001250C0" w:rsidP="000A5656">
      <w:pPr>
        <w:tabs>
          <w:tab w:val="left" w:pos="540"/>
        </w:tabs>
        <w:jc w:val="both"/>
        <w:rPr>
          <w:iCs/>
          <w:szCs w:val="24"/>
        </w:rPr>
      </w:pPr>
    </w:p>
    <w:p w14:paraId="46571EFE" w14:textId="54B80E63" w:rsidR="001250C0" w:rsidRPr="00D12B1F" w:rsidRDefault="000A5656" w:rsidP="001250C0">
      <w:pPr>
        <w:tabs>
          <w:tab w:val="left" w:pos="540"/>
        </w:tabs>
        <w:jc w:val="center"/>
        <w:rPr>
          <w:iCs/>
          <w:sz w:val="22"/>
          <w:szCs w:val="22"/>
        </w:rPr>
      </w:pPr>
      <w:r>
        <w:rPr>
          <w:iCs/>
          <w:noProof/>
          <w:sz w:val="22"/>
          <w:szCs w:val="22"/>
        </w:rPr>
        <w:drawing>
          <wp:inline distT="0" distB="0" distL="0" distR="0" wp14:anchorId="2E1960A5" wp14:editId="3692397B">
            <wp:extent cx="4638675" cy="2801634"/>
            <wp:effectExtent l="0" t="0" r="0" b="0"/>
            <wp:docPr id="756919185"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6207" cy="2806183"/>
                    </a:xfrm>
                    <a:prstGeom prst="rect">
                      <a:avLst/>
                    </a:prstGeom>
                    <a:noFill/>
                  </pic:spPr>
                </pic:pic>
              </a:graphicData>
            </a:graphic>
          </wp:inline>
        </w:drawing>
      </w:r>
    </w:p>
    <w:p w14:paraId="4A0D6BBE" w14:textId="6C81CBF9" w:rsidR="001250C0" w:rsidRDefault="001250C0" w:rsidP="001250C0">
      <w:pPr>
        <w:tabs>
          <w:tab w:val="left" w:pos="540"/>
        </w:tabs>
        <w:jc w:val="center"/>
        <w:rPr>
          <w:i/>
          <w:sz w:val="22"/>
          <w:szCs w:val="22"/>
        </w:rPr>
      </w:pPr>
      <w:r w:rsidRPr="00580643">
        <w:rPr>
          <w:i/>
          <w:sz w:val="22"/>
          <w:szCs w:val="22"/>
        </w:rPr>
        <w:t>Panaudotų Savivaldybės biudžeto</w:t>
      </w:r>
      <w:r w:rsidR="000A5656">
        <w:rPr>
          <w:i/>
          <w:sz w:val="22"/>
          <w:szCs w:val="22"/>
        </w:rPr>
        <w:t xml:space="preserve"> </w:t>
      </w:r>
      <w:r w:rsidR="000A5656" w:rsidRPr="00580643">
        <w:rPr>
          <w:i/>
          <w:sz w:val="22"/>
          <w:szCs w:val="22"/>
        </w:rPr>
        <w:t>202</w:t>
      </w:r>
      <w:r w:rsidR="000A5656">
        <w:rPr>
          <w:i/>
          <w:sz w:val="22"/>
          <w:szCs w:val="22"/>
        </w:rPr>
        <w:t>5</w:t>
      </w:r>
      <w:r w:rsidR="000A5656" w:rsidRPr="00580643">
        <w:rPr>
          <w:i/>
          <w:sz w:val="22"/>
          <w:szCs w:val="22"/>
        </w:rPr>
        <w:t xml:space="preserve"> m</w:t>
      </w:r>
      <w:r w:rsidR="000A5656">
        <w:rPr>
          <w:i/>
          <w:sz w:val="22"/>
          <w:szCs w:val="22"/>
        </w:rPr>
        <w:t>etų</w:t>
      </w:r>
      <w:r w:rsidRPr="00580643">
        <w:rPr>
          <w:i/>
          <w:sz w:val="22"/>
          <w:szCs w:val="22"/>
        </w:rPr>
        <w:t xml:space="preserve"> asignavimų struktūra pagal </w:t>
      </w:r>
      <w:r>
        <w:rPr>
          <w:i/>
          <w:sz w:val="22"/>
          <w:szCs w:val="22"/>
        </w:rPr>
        <w:t>valstybės funkcijas</w:t>
      </w:r>
      <w:r w:rsidRPr="00580643">
        <w:rPr>
          <w:i/>
          <w:sz w:val="22"/>
          <w:szCs w:val="22"/>
        </w:rPr>
        <w:t>, proc.</w:t>
      </w:r>
    </w:p>
    <w:p w14:paraId="78E557EA" w14:textId="77777777" w:rsidR="000A5656" w:rsidRDefault="000A5656" w:rsidP="000A5656">
      <w:pPr>
        <w:spacing w:line="360" w:lineRule="auto"/>
        <w:jc w:val="center"/>
        <w:rPr>
          <w:b/>
          <w:bCs/>
          <w:szCs w:val="24"/>
          <w:lang w:eastAsia="lt-LT"/>
        </w:rPr>
      </w:pPr>
    </w:p>
    <w:p w14:paraId="406589AB" w14:textId="70F81909" w:rsidR="00D82D99" w:rsidRDefault="00233AE1" w:rsidP="000A5656">
      <w:pPr>
        <w:jc w:val="center"/>
        <w:rPr>
          <w:b/>
          <w:bCs/>
          <w:szCs w:val="24"/>
          <w:lang w:eastAsia="lt-LT"/>
        </w:rPr>
      </w:pPr>
      <w:r>
        <w:rPr>
          <w:b/>
          <w:bCs/>
          <w:szCs w:val="24"/>
          <w:lang w:eastAsia="lt-LT"/>
        </w:rPr>
        <w:t>V SKYRIUS</w:t>
      </w:r>
    </w:p>
    <w:p w14:paraId="7D100525" w14:textId="77777777" w:rsidR="00FC1A1E" w:rsidRDefault="00233AE1" w:rsidP="00FC1A1E">
      <w:pPr>
        <w:tabs>
          <w:tab w:val="left" w:pos="540"/>
        </w:tabs>
        <w:jc w:val="center"/>
        <w:rPr>
          <w:b/>
          <w:bCs/>
          <w:szCs w:val="24"/>
          <w:lang w:eastAsia="lt-LT"/>
        </w:rPr>
      </w:pPr>
      <w:r>
        <w:rPr>
          <w:b/>
          <w:bCs/>
          <w:szCs w:val="24"/>
          <w:lang w:eastAsia="lt-LT"/>
        </w:rPr>
        <w:t>KITA INFORMACIJA</w:t>
      </w:r>
    </w:p>
    <w:p w14:paraId="726430B4" w14:textId="77777777" w:rsidR="00FC1A1E" w:rsidRDefault="00FC1A1E" w:rsidP="00FC1A1E">
      <w:pPr>
        <w:tabs>
          <w:tab w:val="left" w:pos="540"/>
        </w:tabs>
        <w:jc w:val="center"/>
        <w:rPr>
          <w:b/>
          <w:bCs/>
          <w:szCs w:val="24"/>
          <w:lang w:eastAsia="lt-LT"/>
        </w:rPr>
      </w:pPr>
    </w:p>
    <w:p w14:paraId="5DE0014A" w14:textId="70F58D8A" w:rsidR="006746B3" w:rsidRPr="000A5656" w:rsidRDefault="006746B3" w:rsidP="000A5656">
      <w:pPr>
        <w:spacing w:line="360" w:lineRule="auto"/>
        <w:ind w:firstLine="709"/>
        <w:rPr>
          <w:b/>
          <w:u w:val="single"/>
        </w:rPr>
      </w:pPr>
      <w:r w:rsidRPr="000A5656">
        <w:rPr>
          <w:b/>
          <w:u w:val="single"/>
        </w:rPr>
        <w:t>Varėnos rajono savivaldybės mokėtinos sumos</w:t>
      </w:r>
    </w:p>
    <w:p w14:paraId="759E69D1" w14:textId="1194C10B" w:rsidR="006746B3" w:rsidRPr="00D62215" w:rsidRDefault="006746B3" w:rsidP="000A5656">
      <w:pPr>
        <w:spacing w:line="360" w:lineRule="auto"/>
        <w:ind w:firstLine="709"/>
        <w:jc w:val="both"/>
      </w:pPr>
      <w:r w:rsidRPr="000426C9">
        <w:t xml:space="preserve">2025 m. gruodžio 31 d. iš Savivaldybės biudžeto išlaikomų įstaigų mokėtinos sumos (kreditinis įsiskolinimas kartu su finansiniais įsipareigojimais) sudarė </w:t>
      </w:r>
      <w:bookmarkStart w:id="5" w:name="_Hlk508119470"/>
      <w:r w:rsidRPr="000426C9">
        <w:t>1</w:t>
      </w:r>
      <w:r w:rsidR="006C04CD" w:rsidRPr="000426C9">
        <w:t> 390,3</w:t>
      </w:r>
      <w:r w:rsidRPr="000426C9">
        <w:t xml:space="preserve"> </w:t>
      </w:r>
      <w:bookmarkEnd w:id="5"/>
      <w:r w:rsidRPr="000426C9">
        <w:t>tūkst. Eur (202</w:t>
      </w:r>
      <w:r w:rsidR="006C04CD" w:rsidRPr="000426C9">
        <w:t>4</w:t>
      </w:r>
      <w:r w:rsidRPr="000426C9">
        <w:t xml:space="preserve"> m. gruodžio 31 d. – 1</w:t>
      </w:r>
      <w:r w:rsidR="006C04CD" w:rsidRPr="000426C9">
        <w:t> 468,0</w:t>
      </w:r>
      <w:r w:rsidRPr="000426C9">
        <w:t xml:space="preserve"> tūkst. Eur), iš jų mokėtinos sumos, kurių įvykdymo terminas ilgesnis kaip 45 dienos, sudarė 0,</w:t>
      </w:r>
      <w:r w:rsidR="006C04CD" w:rsidRPr="000426C9">
        <w:t>1</w:t>
      </w:r>
      <w:r w:rsidRPr="000426C9">
        <w:t xml:space="preserve"> tūkst. Eur (202</w:t>
      </w:r>
      <w:r w:rsidR="006C04CD" w:rsidRPr="000426C9">
        <w:t>4</w:t>
      </w:r>
      <w:r w:rsidRPr="000426C9">
        <w:t xml:space="preserve"> m. gruodžio 31 d. </w:t>
      </w:r>
      <w:r w:rsidRPr="00D62215">
        <w:t>– 0,</w:t>
      </w:r>
      <w:r w:rsidR="006C04CD" w:rsidRPr="00D62215">
        <w:t>3</w:t>
      </w:r>
      <w:r w:rsidRPr="00D62215">
        <w:t xml:space="preserve"> tūkst. Eur). Mokėtinos sumos dėl finansinių įsipareigojimų vykdymo (paskolų grąžinimo) sudarė </w:t>
      </w:r>
      <w:bookmarkStart w:id="6" w:name="_Hlk508119551"/>
      <w:r w:rsidR="006C04CD" w:rsidRPr="00D62215">
        <w:t>836,9</w:t>
      </w:r>
      <w:r w:rsidRPr="00D62215">
        <w:t xml:space="preserve"> </w:t>
      </w:r>
      <w:bookmarkEnd w:id="6"/>
      <w:r w:rsidRPr="00D62215">
        <w:t>tūkst. Eur (202</w:t>
      </w:r>
      <w:r w:rsidR="006C04CD" w:rsidRPr="00D62215">
        <w:t>4</w:t>
      </w:r>
      <w:r w:rsidRPr="00D62215">
        <w:t xml:space="preserve"> m. gruodžio 31 d. – </w:t>
      </w:r>
      <w:r w:rsidR="006C04CD" w:rsidRPr="00D62215">
        <w:t>911,6</w:t>
      </w:r>
      <w:r w:rsidRPr="00D62215">
        <w:t xml:space="preserve"> tūkst. Eur).</w:t>
      </w:r>
    </w:p>
    <w:p w14:paraId="594E7361" w14:textId="0AAB91BA" w:rsidR="006746B3" w:rsidRPr="000B25BC" w:rsidRDefault="006746B3" w:rsidP="006746B3">
      <w:pPr>
        <w:spacing w:line="360" w:lineRule="auto"/>
        <w:ind w:firstLine="709"/>
        <w:jc w:val="both"/>
        <w:rPr>
          <w:highlight w:val="yellow"/>
        </w:rPr>
      </w:pPr>
      <w:r w:rsidRPr="00D62215">
        <w:t xml:space="preserve">Didžiąją dalį mokėtinų sumų sudarė įsiskolinimas už </w:t>
      </w:r>
      <w:r w:rsidR="00CD125E" w:rsidRPr="00D62215">
        <w:t xml:space="preserve">socialines </w:t>
      </w:r>
      <w:r w:rsidR="00D62215" w:rsidRPr="00D62215">
        <w:t>pašalpas</w:t>
      </w:r>
      <w:r w:rsidR="00CD125E" w:rsidRPr="00D62215">
        <w:t xml:space="preserve"> ir kompensacijas – 325,2 tūkst. Eur, </w:t>
      </w:r>
      <w:r w:rsidRPr="00D62215">
        <w:t xml:space="preserve">komunalines paslaugas – </w:t>
      </w:r>
      <w:r w:rsidR="000426C9" w:rsidRPr="00D62215">
        <w:t>75,8</w:t>
      </w:r>
      <w:r w:rsidRPr="00D62215">
        <w:t xml:space="preserve"> tūkst. Eur,</w:t>
      </w:r>
      <w:r w:rsidR="007E00B7" w:rsidRPr="00D62215">
        <w:t xml:space="preserve"> kitas prekes ir paslaugas – 46,7 tūkst. Eur</w:t>
      </w:r>
      <w:r w:rsidR="007E00B7">
        <w:t xml:space="preserve">,  </w:t>
      </w:r>
      <w:r w:rsidRPr="000426C9">
        <w:t xml:space="preserve"> kitas išlaidas – </w:t>
      </w:r>
      <w:r w:rsidR="000426C9" w:rsidRPr="000426C9">
        <w:t>42,5</w:t>
      </w:r>
      <w:r w:rsidRPr="000426C9">
        <w:t xml:space="preserve"> tūkst. Eur, subsidijas gamybai – </w:t>
      </w:r>
      <w:r w:rsidR="000426C9" w:rsidRPr="000426C9">
        <w:t>30,2</w:t>
      </w:r>
      <w:r w:rsidRPr="000426C9">
        <w:t xml:space="preserve"> tūkst. Eur</w:t>
      </w:r>
      <w:r w:rsidR="00394393">
        <w:t>.</w:t>
      </w:r>
      <w:r w:rsidR="007E00B7">
        <w:t xml:space="preserve"> </w:t>
      </w:r>
    </w:p>
    <w:p w14:paraId="31AD4534" w14:textId="1C21B730" w:rsidR="006746B3" w:rsidRPr="000B25BC" w:rsidRDefault="006746B3" w:rsidP="000A5656">
      <w:pPr>
        <w:shd w:val="clear" w:color="auto" w:fill="FFFFFF"/>
        <w:spacing w:line="360" w:lineRule="auto"/>
        <w:ind w:firstLine="709"/>
        <w:jc w:val="both"/>
        <w:rPr>
          <w:highlight w:val="yellow"/>
        </w:rPr>
      </w:pPr>
      <w:r w:rsidRPr="00CE768D">
        <w:t>Mokėtinos sumos (kreditinis įsiskolinimas su paskolų grąžinimu), lyginant su įsiskolinimu 202</w:t>
      </w:r>
      <w:r w:rsidR="00F948AE" w:rsidRPr="00CE768D">
        <w:t>4</w:t>
      </w:r>
      <w:r w:rsidRPr="00CE768D">
        <w:t xml:space="preserve"> m. gruodžio 31 d., </w:t>
      </w:r>
      <w:r w:rsidR="00D04358" w:rsidRPr="00CE768D">
        <w:t>sumažėjo</w:t>
      </w:r>
      <w:r w:rsidRPr="00CE768D">
        <w:t xml:space="preserve"> </w:t>
      </w:r>
      <w:r w:rsidR="00D04358" w:rsidRPr="00CE768D">
        <w:t>77,7</w:t>
      </w:r>
      <w:r w:rsidRPr="00CE768D">
        <w:t xml:space="preserve"> tūkst. Eur, įsiskolinimas, ilgesnis kaip 45 dienos, </w:t>
      </w:r>
      <w:r w:rsidR="00D04358" w:rsidRPr="00CE768D">
        <w:t>sumažėjo</w:t>
      </w:r>
      <w:r w:rsidRPr="00CE768D">
        <w:t xml:space="preserve"> 0,</w:t>
      </w:r>
      <w:r w:rsidR="00D04358" w:rsidRPr="00CE768D">
        <w:t>2</w:t>
      </w:r>
      <w:r w:rsidRPr="00CE768D">
        <w:t xml:space="preserve"> tūkst. Eur. Savivaldybės mokėtinos sumos (išskyrus sumas paskoloms grąžinti) 202</w:t>
      </w:r>
      <w:r w:rsidR="00D04358" w:rsidRPr="00CE768D">
        <w:t>5</w:t>
      </w:r>
      <w:r w:rsidRPr="00CE768D">
        <w:t xml:space="preserve"> m. gruodžio 31 d., palyginus su 202</w:t>
      </w:r>
      <w:r w:rsidR="00D04358" w:rsidRPr="00CE768D">
        <w:t>4</w:t>
      </w:r>
      <w:r w:rsidRPr="00CE768D">
        <w:t xml:space="preserve"> m. gruodžio 31 d., </w:t>
      </w:r>
      <w:r w:rsidR="00D04358" w:rsidRPr="00CE768D">
        <w:t>sumažėjo 3,0</w:t>
      </w:r>
      <w:r w:rsidRPr="00CE768D">
        <w:t xml:space="preserve"> tūkst. Eur ir sudarė </w:t>
      </w:r>
      <w:r w:rsidR="00D04358" w:rsidRPr="00CE768D">
        <w:t>553,4</w:t>
      </w:r>
      <w:r w:rsidRPr="00CE768D">
        <w:t xml:space="preserve"> tūkst. Eur. </w:t>
      </w:r>
    </w:p>
    <w:p w14:paraId="675916FF" w14:textId="7AB8250F" w:rsidR="006746B3" w:rsidRPr="001A0346" w:rsidRDefault="006746B3" w:rsidP="001A0346">
      <w:pPr>
        <w:spacing w:line="360" w:lineRule="auto"/>
        <w:ind w:firstLine="709"/>
        <w:rPr>
          <w:b/>
          <w:u w:val="single"/>
        </w:rPr>
      </w:pPr>
      <w:r w:rsidRPr="001A0346">
        <w:rPr>
          <w:b/>
          <w:u w:val="single"/>
        </w:rPr>
        <w:t>Savivaldybės gautos paskolos</w:t>
      </w:r>
    </w:p>
    <w:p w14:paraId="6692409A" w14:textId="11600E79" w:rsidR="006746B3" w:rsidRPr="00CE768D" w:rsidRDefault="006746B3" w:rsidP="006746B3">
      <w:pPr>
        <w:spacing w:line="360" w:lineRule="auto"/>
        <w:ind w:firstLine="709"/>
        <w:jc w:val="both"/>
      </w:pPr>
      <w:r w:rsidRPr="00CE768D">
        <w:t>Savivaldybės skola kartu su paskolomis Savivaldybei nuosavybės teise priklausančių gyvenamųjų pastatų atnaujinimo (modernizavimo) projektams vykdyti 202</w:t>
      </w:r>
      <w:r w:rsidR="00CE768D" w:rsidRPr="00CE768D">
        <w:t>5</w:t>
      </w:r>
      <w:r w:rsidRPr="00CE768D">
        <w:t xml:space="preserve"> m. gruodžio 31 d. sudarė  </w:t>
      </w:r>
      <w:r w:rsidR="00CE768D" w:rsidRPr="00CE768D">
        <w:t>3 462,1</w:t>
      </w:r>
      <w:r w:rsidRPr="00CE768D">
        <w:t xml:space="preserve"> tūkst. Eur ir</w:t>
      </w:r>
      <w:r w:rsidR="001A0346">
        <w:t>,</w:t>
      </w:r>
      <w:r w:rsidRPr="00CE768D">
        <w:t xml:space="preserve"> lyginant su 202</w:t>
      </w:r>
      <w:r w:rsidR="00CE768D" w:rsidRPr="00CE768D">
        <w:t>4</w:t>
      </w:r>
      <w:r w:rsidRPr="00CE768D">
        <w:t xml:space="preserve"> m.</w:t>
      </w:r>
      <w:r w:rsidR="001A0346">
        <w:t>,</w:t>
      </w:r>
      <w:r w:rsidRPr="00CE768D">
        <w:t xml:space="preserve"> sumažėjo </w:t>
      </w:r>
      <w:r w:rsidR="00CE768D" w:rsidRPr="00CE768D">
        <w:t>906,0</w:t>
      </w:r>
      <w:r w:rsidRPr="00CE768D">
        <w:t xml:space="preserve"> tūkst. Eur.</w:t>
      </w:r>
    </w:p>
    <w:p w14:paraId="7B2F5EE1" w14:textId="5F0FA00D" w:rsidR="00D82D99" w:rsidRDefault="006746B3" w:rsidP="00FC1A1E">
      <w:pPr>
        <w:spacing w:line="360" w:lineRule="auto"/>
        <w:ind w:firstLine="709"/>
        <w:jc w:val="both"/>
      </w:pPr>
      <w:r w:rsidRPr="00552AF6">
        <w:t>Savivaldybė pagal pasirašytas paskolų sutartis 202</w:t>
      </w:r>
      <w:r w:rsidR="00552AF6" w:rsidRPr="00552AF6">
        <w:t>5</w:t>
      </w:r>
      <w:r w:rsidRPr="00552AF6">
        <w:t xml:space="preserve"> m</w:t>
      </w:r>
      <w:r w:rsidR="001A0346">
        <w:t>.</w:t>
      </w:r>
      <w:r w:rsidRPr="00552AF6">
        <w:t xml:space="preserve"> iš Savivaldybės biudžeto lėšų bankams grąžino </w:t>
      </w:r>
      <w:r w:rsidR="00552AF6" w:rsidRPr="00552AF6">
        <w:t>912,0</w:t>
      </w:r>
      <w:r w:rsidRPr="00552AF6">
        <w:t xml:space="preserve"> tūkst</w:t>
      </w:r>
      <w:r w:rsidRPr="001A0346">
        <w:t xml:space="preserve">. Eur paskolų, pagal daugiabučių namų atnaujinimo (modernizavimo) programą </w:t>
      </w:r>
      <w:r w:rsidRPr="001A0346">
        <w:lastRenderedPageBreak/>
        <w:t>UAB ILTE grąžino 7,2 tūkst</w:t>
      </w:r>
      <w:r w:rsidRPr="00552AF6">
        <w:t xml:space="preserve">. Eur paskolų. Bendra </w:t>
      </w:r>
      <w:r w:rsidR="001A0346">
        <w:t xml:space="preserve">2025 m. </w:t>
      </w:r>
      <w:r w:rsidRPr="00552AF6">
        <w:t xml:space="preserve">grąžintų paskolų suma sudarė </w:t>
      </w:r>
      <w:r w:rsidR="00552AF6" w:rsidRPr="00552AF6">
        <w:t>919,2</w:t>
      </w:r>
      <w:r w:rsidR="005A55D4">
        <w:t> </w:t>
      </w:r>
      <w:r w:rsidRPr="00552AF6">
        <w:t>tūkst.</w:t>
      </w:r>
      <w:r w:rsidR="00394393">
        <w:t> </w:t>
      </w:r>
      <w:r w:rsidRPr="00552AF6">
        <w:t xml:space="preserve">Eur, t. y. </w:t>
      </w:r>
      <w:r w:rsidR="00552AF6" w:rsidRPr="00552AF6">
        <w:t>29,3</w:t>
      </w:r>
      <w:r w:rsidRPr="00552AF6">
        <w:t xml:space="preserve"> tūkst. Eur </w:t>
      </w:r>
      <w:r w:rsidR="00552AF6" w:rsidRPr="00552AF6">
        <w:t>daugiau</w:t>
      </w:r>
      <w:r w:rsidRPr="00552AF6">
        <w:t xml:space="preserve"> negu 202</w:t>
      </w:r>
      <w:r w:rsidR="00552AF6" w:rsidRPr="00552AF6">
        <w:t>4</w:t>
      </w:r>
      <w:r w:rsidRPr="00552AF6">
        <w:t xml:space="preserve"> m. Palūkanų sumokėta </w:t>
      </w:r>
      <w:r w:rsidR="00552AF6" w:rsidRPr="00552AF6">
        <w:t>121,0</w:t>
      </w:r>
      <w:r w:rsidRPr="00552AF6">
        <w:t xml:space="preserve"> tūkst. Eur, t. y.</w:t>
      </w:r>
      <w:r w:rsidR="001A0346">
        <w:t xml:space="preserve"> </w:t>
      </w:r>
      <w:r w:rsidR="00552AF6" w:rsidRPr="00552AF6">
        <w:t>100,6</w:t>
      </w:r>
      <w:r w:rsidR="001A0346">
        <w:t xml:space="preserve"> </w:t>
      </w:r>
      <w:r w:rsidRPr="00552AF6">
        <w:t xml:space="preserve">tūkst. Eur </w:t>
      </w:r>
      <w:r w:rsidR="00552AF6" w:rsidRPr="00552AF6">
        <w:t>mažiau</w:t>
      </w:r>
      <w:r w:rsidRPr="00552AF6">
        <w:t xml:space="preserve"> negu 202</w:t>
      </w:r>
      <w:r w:rsidR="00552AF6" w:rsidRPr="00552AF6">
        <w:t>4</w:t>
      </w:r>
      <w:r w:rsidR="007E00B7">
        <w:t xml:space="preserve"> m.</w:t>
      </w:r>
    </w:p>
    <w:p w14:paraId="6670AAB9" w14:textId="77777777" w:rsidR="00FC1A1E" w:rsidRDefault="00FC1A1E" w:rsidP="00FC1A1E">
      <w:pPr>
        <w:spacing w:line="360" w:lineRule="auto"/>
        <w:jc w:val="both"/>
      </w:pPr>
    </w:p>
    <w:p w14:paraId="072E3DDA" w14:textId="2590AEDD" w:rsidR="00FC1A1E" w:rsidRDefault="00FC1A1E" w:rsidP="00FC1A1E">
      <w:pPr>
        <w:spacing w:line="360" w:lineRule="auto"/>
        <w:jc w:val="both"/>
      </w:pPr>
      <w:r>
        <w:t>Savivaldybės meras                                                                                      Algis Kašėta</w:t>
      </w:r>
    </w:p>
    <w:p w14:paraId="690BD3B3" w14:textId="77777777" w:rsidR="00FC1A1E" w:rsidRDefault="00FC1A1E" w:rsidP="00FC1A1E">
      <w:pPr>
        <w:spacing w:line="360" w:lineRule="auto"/>
        <w:jc w:val="both"/>
      </w:pPr>
    </w:p>
    <w:p w14:paraId="00F81D40" w14:textId="57330E2E" w:rsidR="00FC1A1E" w:rsidRDefault="00FC1A1E" w:rsidP="00FC1A1E">
      <w:pPr>
        <w:jc w:val="both"/>
      </w:pPr>
      <w:r>
        <w:t>Finansų ir strateginio planavimo skyriaus</w:t>
      </w:r>
    </w:p>
    <w:p w14:paraId="7905215E" w14:textId="1AE73672" w:rsidR="00FC1A1E" w:rsidRPr="00FC1A1E" w:rsidRDefault="00FC1A1E" w:rsidP="00FC1A1E">
      <w:pPr>
        <w:jc w:val="both"/>
      </w:pPr>
      <w:r>
        <w:t xml:space="preserve">vyresnioji specialistė                                                                                    Ona </w:t>
      </w:r>
      <w:proofErr w:type="spellStart"/>
      <w:r>
        <w:t>Pekorienė</w:t>
      </w:r>
      <w:proofErr w:type="spellEnd"/>
    </w:p>
    <w:sectPr w:rsidR="00FC1A1E" w:rsidRPr="00FC1A1E">
      <w:headerReference w:type="even" r:id="rId13"/>
      <w:headerReference w:type="default" r:id="rId14"/>
      <w:footerReference w:type="even" r:id="rId15"/>
      <w:footerReference w:type="default" r:id="rId16"/>
      <w:headerReference w:type="first" r:id="rId17"/>
      <w:footerReference w:type="first" r:id="rId1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86A2" w14:textId="77777777" w:rsidR="00084125" w:rsidRDefault="00084125">
      <w:pPr>
        <w:rPr>
          <w:color w:val="000000"/>
          <w:szCs w:val="24"/>
          <w:lang w:eastAsia="lt-LT"/>
        </w:rPr>
      </w:pPr>
      <w:r>
        <w:rPr>
          <w:color w:val="000000"/>
          <w:szCs w:val="24"/>
          <w:lang w:eastAsia="lt-LT"/>
        </w:rPr>
        <w:separator/>
      </w:r>
    </w:p>
  </w:endnote>
  <w:endnote w:type="continuationSeparator" w:id="0">
    <w:p w14:paraId="36B9366B" w14:textId="77777777" w:rsidR="00084125" w:rsidRDefault="00084125">
      <w:pPr>
        <w:rPr>
          <w:color w:val="000000"/>
          <w:szCs w:val="24"/>
          <w:lang w:eastAsia="lt-LT"/>
        </w:rPr>
      </w:pPr>
      <w:r>
        <w:rPr>
          <w:color w:val="00000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D0A4" w14:textId="77777777" w:rsidR="00D82D99" w:rsidRDefault="00D82D99">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B915" w14:textId="77777777" w:rsidR="00D82D99" w:rsidRDefault="00D82D99">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F1CC" w14:textId="77777777" w:rsidR="00D82D99" w:rsidRDefault="00D82D99">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E970" w14:textId="77777777" w:rsidR="00084125" w:rsidRDefault="00084125">
      <w:pPr>
        <w:rPr>
          <w:color w:val="000000"/>
          <w:szCs w:val="24"/>
          <w:lang w:eastAsia="lt-LT"/>
        </w:rPr>
      </w:pPr>
      <w:r>
        <w:rPr>
          <w:color w:val="000000"/>
          <w:szCs w:val="24"/>
          <w:lang w:eastAsia="lt-LT"/>
        </w:rPr>
        <w:separator/>
      </w:r>
    </w:p>
  </w:footnote>
  <w:footnote w:type="continuationSeparator" w:id="0">
    <w:p w14:paraId="466BA4F6" w14:textId="77777777" w:rsidR="00084125" w:rsidRDefault="00084125">
      <w:pPr>
        <w:rPr>
          <w:color w:val="000000"/>
          <w:szCs w:val="24"/>
          <w:lang w:eastAsia="lt-LT"/>
        </w:rPr>
      </w:pPr>
      <w:r>
        <w:rPr>
          <w:color w:val="00000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AE3D" w14:textId="77777777" w:rsidR="00D82D99" w:rsidRDefault="00233AE1">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Pr>
        <w:color w:val="000000"/>
        <w:szCs w:val="24"/>
        <w:lang w:eastAsia="lt-LT"/>
      </w:rPr>
      <w:instrText xml:space="preserve">PAGE  </w:instrText>
    </w:r>
    <w:r>
      <w:rPr>
        <w:color w:val="000000"/>
        <w:szCs w:val="24"/>
        <w:lang w:eastAsia="lt-LT"/>
      </w:rPr>
      <w:fldChar w:fldCharType="end"/>
    </w:r>
  </w:p>
  <w:p w14:paraId="4A7E29E2" w14:textId="77777777" w:rsidR="00D82D99" w:rsidRDefault="00D82D99">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89A3" w14:textId="77777777" w:rsidR="00D82D99" w:rsidRDefault="00233AE1">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Pr>
        <w:color w:val="000000"/>
        <w:szCs w:val="24"/>
        <w:lang w:eastAsia="lt-LT"/>
      </w:rPr>
      <w:instrText xml:space="preserve">PAGE  </w:instrText>
    </w:r>
    <w:r>
      <w:rPr>
        <w:color w:val="000000"/>
        <w:szCs w:val="24"/>
        <w:lang w:eastAsia="lt-LT"/>
      </w:rPr>
      <w:fldChar w:fldCharType="separate"/>
    </w:r>
    <w:r>
      <w:rPr>
        <w:color w:val="000000"/>
        <w:szCs w:val="24"/>
        <w:lang w:eastAsia="lt-LT"/>
      </w:rPr>
      <w:t>2</w:t>
    </w:r>
    <w:r>
      <w:rPr>
        <w:color w:val="000000"/>
        <w:szCs w:val="24"/>
        <w:lang w:eastAsia="lt-LT"/>
      </w:rPr>
      <w:fldChar w:fldCharType="end"/>
    </w:r>
  </w:p>
  <w:p w14:paraId="0205F43B" w14:textId="77777777" w:rsidR="00D82D99" w:rsidRDefault="00D82D99">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2BF" w14:textId="77777777" w:rsidR="00D82D99" w:rsidRDefault="00D82D9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30472"/>
    <w:multiLevelType w:val="hybridMultilevel"/>
    <w:tmpl w:val="51C694A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165964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5A"/>
    <w:rsid w:val="0000569D"/>
    <w:rsid w:val="00011DFA"/>
    <w:rsid w:val="000252A0"/>
    <w:rsid w:val="00040433"/>
    <w:rsid w:val="000426C9"/>
    <w:rsid w:val="00064446"/>
    <w:rsid w:val="00070A08"/>
    <w:rsid w:val="00084125"/>
    <w:rsid w:val="000A5656"/>
    <w:rsid w:val="000B25BC"/>
    <w:rsid w:val="000B281B"/>
    <w:rsid w:val="000B6328"/>
    <w:rsid w:val="000D17BF"/>
    <w:rsid w:val="000D57B7"/>
    <w:rsid w:val="000E1A55"/>
    <w:rsid w:val="000F4559"/>
    <w:rsid w:val="000F637B"/>
    <w:rsid w:val="00103DB6"/>
    <w:rsid w:val="0011096F"/>
    <w:rsid w:val="001223F8"/>
    <w:rsid w:val="001250C0"/>
    <w:rsid w:val="00132560"/>
    <w:rsid w:val="001431A6"/>
    <w:rsid w:val="0015025F"/>
    <w:rsid w:val="00156466"/>
    <w:rsid w:val="00172694"/>
    <w:rsid w:val="0017759D"/>
    <w:rsid w:val="00177645"/>
    <w:rsid w:val="00185405"/>
    <w:rsid w:val="001A0346"/>
    <w:rsid w:val="001C6306"/>
    <w:rsid w:val="001D3B47"/>
    <w:rsid w:val="001D6A67"/>
    <w:rsid w:val="001E4A48"/>
    <w:rsid w:val="001F5096"/>
    <w:rsid w:val="00233592"/>
    <w:rsid w:val="00233AE1"/>
    <w:rsid w:val="00234E8E"/>
    <w:rsid w:val="00236712"/>
    <w:rsid w:val="002438B5"/>
    <w:rsid w:val="00275ABB"/>
    <w:rsid w:val="002977F0"/>
    <w:rsid w:val="002B0C83"/>
    <w:rsid w:val="002C3F18"/>
    <w:rsid w:val="002C6025"/>
    <w:rsid w:val="002D5398"/>
    <w:rsid w:val="002E003A"/>
    <w:rsid w:val="002E2526"/>
    <w:rsid w:val="002E3D7D"/>
    <w:rsid w:val="002E682B"/>
    <w:rsid w:val="002F7953"/>
    <w:rsid w:val="003012D1"/>
    <w:rsid w:val="0031693A"/>
    <w:rsid w:val="00321D6D"/>
    <w:rsid w:val="00332560"/>
    <w:rsid w:val="003343AA"/>
    <w:rsid w:val="00355162"/>
    <w:rsid w:val="0036651A"/>
    <w:rsid w:val="00373186"/>
    <w:rsid w:val="003820B5"/>
    <w:rsid w:val="00394393"/>
    <w:rsid w:val="00396C72"/>
    <w:rsid w:val="003D4DC5"/>
    <w:rsid w:val="003E2AEE"/>
    <w:rsid w:val="003E44D2"/>
    <w:rsid w:val="003E532D"/>
    <w:rsid w:val="003F2307"/>
    <w:rsid w:val="00426A42"/>
    <w:rsid w:val="00442FA9"/>
    <w:rsid w:val="00445643"/>
    <w:rsid w:val="00461628"/>
    <w:rsid w:val="00472C69"/>
    <w:rsid w:val="00493F4A"/>
    <w:rsid w:val="00495A9B"/>
    <w:rsid w:val="004A0223"/>
    <w:rsid w:val="004A0C30"/>
    <w:rsid w:val="004A306C"/>
    <w:rsid w:val="004D0DC6"/>
    <w:rsid w:val="004F45B9"/>
    <w:rsid w:val="00516098"/>
    <w:rsid w:val="00527CF6"/>
    <w:rsid w:val="005449C4"/>
    <w:rsid w:val="00552AF6"/>
    <w:rsid w:val="005606AC"/>
    <w:rsid w:val="00571BF6"/>
    <w:rsid w:val="00577EFA"/>
    <w:rsid w:val="00590B30"/>
    <w:rsid w:val="005938EE"/>
    <w:rsid w:val="005A55D4"/>
    <w:rsid w:val="005A6279"/>
    <w:rsid w:val="005C0514"/>
    <w:rsid w:val="005C22E9"/>
    <w:rsid w:val="005C3BD4"/>
    <w:rsid w:val="005E22DB"/>
    <w:rsid w:val="00621FDA"/>
    <w:rsid w:val="006228CA"/>
    <w:rsid w:val="00622E05"/>
    <w:rsid w:val="006410E1"/>
    <w:rsid w:val="0064427F"/>
    <w:rsid w:val="006468F4"/>
    <w:rsid w:val="00650261"/>
    <w:rsid w:val="00656E6D"/>
    <w:rsid w:val="00670D9A"/>
    <w:rsid w:val="006746B3"/>
    <w:rsid w:val="00675EDC"/>
    <w:rsid w:val="00685282"/>
    <w:rsid w:val="00690D78"/>
    <w:rsid w:val="006A7F46"/>
    <w:rsid w:val="006B5904"/>
    <w:rsid w:val="006B7D0A"/>
    <w:rsid w:val="006C04CD"/>
    <w:rsid w:val="006C1879"/>
    <w:rsid w:val="006D4291"/>
    <w:rsid w:val="006E593C"/>
    <w:rsid w:val="006F0147"/>
    <w:rsid w:val="006F27FA"/>
    <w:rsid w:val="006F48C3"/>
    <w:rsid w:val="006F741E"/>
    <w:rsid w:val="00706DA4"/>
    <w:rsid w:val="007144D9"/>
    <w:rsid w:val="00720038"/>
    <w:rsid w:val="00720D84"/>
    <w:rsid w:val="0072464C"/>
    <w:rsid w:val="00744528"/>
    <w:rsid w:val="007459FB"/>
    <w:rsid w:val="00760420"/>
    <w:rsid w:val="007B278F"/>
    <w:rsid w:val="007B2D56"/>
    <w:rsid w:val="007B4860"/>
    <w:rsid w:val="007C032A"/>
    <w:rsid w:val="007C6856"/>
    <w:rsid w:val="007E00B7"/>
    <w:rsid w:val="007F0BB2"/>
    <w:rsid w:val="007F6915"/>
    <w:rsid w:val="0081029F"/>
    <w:rsid w:val="00815C71"/>
    <w:rsid w:val="00821CE1"/>
    <w:rsid w:val="00830E7A"/>
    <w:rsid w:val="00831636"/>
    <w:rsid w:val="00863CE8"/>
    <w:rsid w:val="0086440C"/>
    <w:rsid w:val="00875031"/>
    <w:rsid w:val="00881817"/>
    <w:rsid w:val="008944C4"/>
    <w:rsid w:val="008B2614"/>
    <w:rsid w:val="008C0E85"/>
    <w:rsid w:val="008E3344"/>
    <w:rsid w:val="00901CED"/>
    <w:rsid w:val="009047E9"/>
    <w:rsid w:val="00904900"/>
    <w:rsid w:val="00915A9D"/>
    <w:rsid w:val="0092567F"/>
    <w:rsid w:val="00926762"/>
    <w:rsid w:val="00953ED4"/>
    <w:rsid w:val="00970A63"/>
    <w:rsid w:val="00971942"/>
    <w:rsid w:val="00992A9D"/>
    <w:rsid w:val="009B0B16"/>
    <w:rsid w:val="009D4179"/>
    <w:rsid w:val="009D6A24"/>
    <w:rsid w:val="00A25D70"/>
    <w:rsid w:val="00A27222"/>
    <w:rsid w:val="00A3207E"/>
    <w:rsid w:val="00A32F77"/>
    <w:rsid w:val="00A36BD8"/>
    <w:rsid w:val="00A57F68"/>
    <w:rsid w:val="00A70573"/>
    <w:rsid w:val="00A81269"/>
    <w:rsid w:val="00A914DB"/>
    <w:rsid w:val="00A94509"/>
    <w:rsid w:val="00AB14DE"/>
    <w:rsid w:val="00AB6DC9"/>
    <w:rsid w:val="00AB7A95"/>
    <w:rsid w:val="00AB7C05"/>
    <w:rsid w:val="00AC1BDE"/>
    <w:rsid w:val="00AD0E55"/>
    <w:rsid w:val="00AD1C86"/>
    <w:rsid w:val="00AD36A2"/>
    <w:rsid w:val="00AE0B2C"/>
    <w:rsid w:val="00AF5043"/>
    <w:rsid w:val="00AF7DF5"/>
    <w:rsid w:val="00B1354B"/>
    <w:rsid w:val="00B35793"/>
    <w:rsid w:val="00B357C1"/>
    <w:rsid w:val="00B35DFF"/>
    <w:rsid w:val="00B55090"/>
    <w:rsid w:val="00B66D2A"/>
    <w:rsid w:val="00B9186E"/>
    <w:rsid w:val="00B97232"/>
    <w:rsid w:val="00BB0E0C"/>
    <w:rsid w:val="00BB12F0"/>
    <w:rsid w:val="00BB1E2B"/>
    <w:rsid w:val="00BB20C7"/>
    <w:rsid w:val="00BB2FB3"/>
    <w:rsid w:val="00BB7830"/>
    <w:rsid w:val="00BE3CDF"/>
    <w:rsid w:val="00BF2419"/>
    <w:rsid w:val="00C10A89"/>
    <w:rsid w:val="00C13725"/>
    <w:rsid w:val="00C25D4D"/>
    <w:rsid w:val="00C30F7C"/>
    <w:rsid w:val="00C414E2"/>
    <w:rsid w:val="00C425C5"/>
    <w:rsid w:val="00C5015B"/>
    <w:rsid w:val="00C928DA"/>
    <w:rsid w:val="00CD125E"/>
    <w:rsid w:val="00CE768D"/>
    <w:rsid w:val="00D04358"/>
    <w:rsid w:val="00D10874"/>
    <w:rsid w:val="00D1109E"/>
    <w:rsid w:val="00D12B1F"/>
    <w:rsid w:val="00D1435A"/>
    <w:rsid w:val="00D23026"/>
    <w:rsid w:val="00D2514E"/>
    <w:rsid w:val="00D42C34"/>
    <w:rsid w:val="00D45F42"/>
    <w:rsid w:val="00D530AF"/>
    <w:rsid w:val="00D62215"/>
    <w:rsid w:val="00D624DC"/>
    <w:rsid w:val="00D801E1"/>
    <w:rsid w:val="00D82D99"/>
    <w:rsid w:val="00D83055"/>
    <w:rsid w:val="00D83A63"/>
    <w:rsid w:val="00D84918"/>
    <w:rsid w:val="00DD6419"/>
    <w:rsid w:val="00E13F25"/>
    <w:rsid w:val="00E21F4C"/>
    <w:rsid w:val="00E44C51"/>
    <w:rsid w:val="00E550CE"/>
    <w:rsid w:val="00E75B32"/>
    <w:rsid w:val="00E87C8E"/>
    <w:rsid w:val="00E95F12"/>
    <w:rsid w:val="00EA7AEA"/>
    <w:rsid w:val="00EB1457"/>
    <w:rsid w:val="00EB6593"/>
    <w:rsid w:val="00EC3D53"/>
    <w:rsid w:val="00EC6E1A"/>
    <w:rsid w:val="00EF1542"/>
    <w:rsid w:val="00F0148D"/>
    <w:rsid w:val="00F20120"/>
    <w:rsid w:val="00F35699"/>
    <w:rsid w:val="00F80A71"/>
    <w:rsid w:val="00F874DF"/>
    <w:rsid w:val="00F948AE"/>
    <w:rsid w:val="00F978FD"/>
    <w:rsid w:val="00FB6044"/>
    <w:rsid w:val="00FB79EF"/>
    <w:rsid w:val="00FC0BAA"/>
    <w:rsid w:val="00FC1A1E"/>
    <w:rsid w:val="00FC52C3"/>
    <w:rsid w:val="00FC7C1D"/>
    <w:rsid w:val="00FD06F4"/>
    <w:rsid w:val="00FD613E"/>
    <w:rsid w:val="00FD6C19"/>
    <w:rsid w:val="00FE16F1"/>
    <w:rsid w:val="00FF0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373E2BBD-72C8-4F20-B5DE-A170851A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markedcontent">
    <w:name w:val="markedcontent"/>
    <w:basedOn w:val="Numatytasispastraiposriftas"/>
    <w:rsid w:val="009B0B16"/>
  </w:style>
  <w:style w:type="paragraph" w:styleId="Sraopastraipa">
    <w:name w:val="List Paragraph"/>
    <w:basedOn w:val="prastasis"/>
    <w:rsid w:val="00FC7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BE282-4DBF-4DAB-834D-FE31C0C8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16</Pages>
  <Words>4328</Words>
  <Characters>28304</Characters>
  <Application>Microsoft Office Word</Application>
  <DocSecurity>0</DocSecurity>
  <Lines>235</Lines>
  <Paragraphs>65</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32567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Tatjana Švedienė</cp:lastModifiedBy>
  <cp:revision>60</cp:revision>
  <cp:lastPrinted>2017-01-09T14:11:00Z</cp:lastPrinted>
  <dcterms:created xsi:type="dcterms:W3CDTF">2026-02-18T08:39:00Z</dcterms:created>
  <dcterms:modified xsi:type="dcterms:W3CDTF">2026-02-19T09:20:00Z</dcterms:modified>
</cp:coreProperties>
</file>